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ind w:right="1273" w:firstLine="709"/>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UFRRJ</w:t>
      </w:r>
    </w:p>
    <w:p w:rsidR="00000000" w:rsidDel="00000000" w:rsidP="00000000" w:rsidRDefault="00000000" w:rsidRPr="00000000" w14:paraId="00000002">
      <w:pPr>
        <w:spacing w:after="0" w:line="360" w:lineRule="auto"/>
        <w:ind w:right="1273" w:firstLine="709"/>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INSTITUTO DE CIÊNCIAS SOCIAIS APLICADAS</w:t>
      </w:r>
    </w:p>
    <w:p w:rsidR="00000000" w:rsidDel="00000000" w:rsidP="00000000" w:rsidRDefault="00000000" w:rsidRPr="00000000" w14:paraId="00000003">
      <w:pPr>
        <w:spacing w:after="0" w:line="360" w:lineRule="auto"/>
        <w:ind w:right="1273" w:firstLine="709"/>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CURSO DE GRADUAÇÃO EM SERVIÇO SOCIAL</w:t>
      </w:r>
    </w:p>
    <w:p w:rsidR="00000000" w:rsidDel="00000000" w:rsidP="00000000" w:rsidRDefault="00000000" w:rsidRPr="00000000" w14:paraId="00000004">
      <w:pPr>
        <w:widowControl w:val="0"/>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05">
      <w:pPr>
        <w:widowControl w:val="0"/>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06">
      <w:pPr>
        <w:widowControl w:val="0"/>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07">
      <w:pPr>
        <w:widowControl w:val="0"/>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08">
      <w:pPr>
        <w:widowControl w:val="0"/>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09">
      <w:pPr>
        <w:widowControl w:val="0"/>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0A">
      <w:pPr>
        <w:spacing w:after="0" w:line="360" w:lineRule="auto"/>
        <w:ind w:right="1273" w:firstLine="709"/>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TRABALHO DE CONCLUSÃO DE CURSO</w:t>
      </w:r>
    </w:p>
    <w:p w:rsidR="00000000" w:rsidDel="00000000" w:rsidP="00000000" w:rsidRDefault="00000000" w:rsidRPr="00000000" w14:paraId="0000000B">
      <w:pPr>
        <w:widowControl w:val="0"/>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0C">
      <w:pPr>
        <w:widowControl w:val="0"/>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0D">
      <w:pPr>
        <w:widowControl w:val="0"/>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0E">
      <w:pPr>
        <w:widowControl w:val="0"/>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0F">
      <w:pPr>
        <w:widowControl w:val="0"/>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10">
      <w:pPr>
        <w:spacing w:after="0" w:line="360" w:lineRule="auto"/>
        <w:ind w:right="1270" w:firstLine="709"/>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VOZES CALADAS, DIREITOS VIOLADOS:</w:t>
      </w:r>
    </w:p>
    <w:p w:rsidR="00000000" w:rsidDel="00000000" w:rsidP="00000000" w:rsidRDefault="00000000" w:rsidRPr="00000000" w14:paraId="00000011">
      <w:pPr>
        <w:spacing w:after="0" w:line="360" w:lineRule="auto"/>
        <w:ind w:right="1270"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QUEBRANDO O SILÊNCIO SOBRE O ABUSO SEXUAL</w:t>
      </w:r>
    </w:p>
    <w:p w:rsidR="00000000" w:rsidDel="00000000" w:rsidP="00000000" w:rsidRDefault="00000000" w:rsidRPr="00000000" w14:paraId="00000012">
      <w:pPr>
        <w:spacing w:after="0" w:line="360" w:lineRule="auto"/>
        <w:ind w:right="1270"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INTRAFAMILIAR DE CRIANÇAS E ADOLESCENTES</w:t>
      </w:r>
    </w:p>
    <w:p w:rsidR="00000000" w:rsidDel="00000000" w:rsidP="00000000" w:rsidRDefault="00000000" w:rsidRPr="00000000" w14:paraId="00000013">
      <w:pPr>
        <w:widowControl w:val="0"/>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14">
      <w:pPr>
        <w:widowControl w:val="0"/>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15">
      <w:pPr>
        <w:widowControl w:val="0"/>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16">
      <w:pPr>
        <w:widowControl w:val="0"/>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17">
      <w:pPr>
        <w:widowControl w:val="0"/>
        <w:spacing w:after="0" w:line="240" w:lineRule="auto"/>
        <w:rPr>
          <w:rFonts w:ascii="Times New Roman" w:cs="Times New Roman" w:eastAsia="Times New Roman" w:hAnsi="Times New Roman"/>
          <w:b w:val="1"/>
          <w:bCs w:val="1"/>
          <w:sz w:val="41"/>
          <w:szCs w:val="41"/>
        </w:rPr>
      </w:pPr>
      <w:r w:rsidDel="00000000" w:rsidR="00000000" w:rsidRPr="00000000">
        <w:rPr>
          <w:rtl w:val="0"/>
        </w:rPr>
      </w:r>
    </w:p>
    <w:p w:rsidR="00000000" w:rsidDel="00000000" w:rsidP="00000000" w:rsidRDefault="00000000" w:rsidRPr="00000000" w14:paraId="00000018">
      <w:pPr>
        <w:spacing w:after="0" w:line="360" w:lineRule="auto"/>
        <w:ind w:right="1270"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8"/>
          <w:szCs w:val="28"/>
          <w:rtl w:val="0"/>
        </w:rPr>
        <w:t xml:space="preserve">ELISA CARVALHO VILLET PINHEIRO</w:t>
      </w:r>
      <w:r w:rsidDel="00000000" w:rsidR="00000000" w:rsidRPr="00000000">
        <w:rPr>
          <w:rtl w:val="0"/>
        </w:rPr>
      </w:r>
    </w:p>
    <w:p w:rsidR="00000000" w:rsidDel="00000000" w:rsidP="00000000" w:rsidRDefault="00000000" w:rsidRPr="00000000" w14:paraId="00000019">
      <w:pPr>
        <w:widowControl w:val="0"/>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1A">
      <w:pPr>
        <w:widowControl w:val="0"/>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1B">
      <w:pPr>
        <w:widowControl w:val="0"/>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1C">
      <w:pPr>
        <w:widowControl w:val="0"/>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1D">
      <w:pPr>
        <w:widowControl w:val="0"/>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1E">
      <w:pPr>
        <w:widowControl w:val="0"/>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1F">
      <w:pPr>
        <w:widowControl w:val="0"/>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20">
      <w:pPr>
        <w:widowControl w:val="0"/>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21">
      <w:pPr>
        <w:widowControl w:val="0"/>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22">
      <w:pPr>
        <w:widowControl w:val="0"/>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23">
      <w:pPr>
        <w:widowControl w:val="0"/>
        <w:spacing w:after="0" w:line="240" w:lineRule="auto"/>
        <w:jc w:val="center"/>
        <w:rPr>
          <w:rFonts w:ascii="Times New Roman" w:cs="Times New Roman" w:eastAsia="Times New Roman" w:hAnsi="Times New Roman"/>
          <w:b w:val="1"/>
          <w:bCs w:val="1"/>
          <w:sz w:val="28"/>
          <w:szCs w:val="28"/>
        </w:rPr>
        <w:sectPr>
          <w:headerReference r:id="rId7" w:type="default"/>
          <w:headerReference r:id="rId8" w:type="first"/>
          <w:footerReference r:id="rId9" w:type="first"/>
          <w:pgSz w:h="16838" w:w="11906" w:orient="portrait"/>
          <w:pgMar w:bottom="1134" w:top="1701" w:left="1701" w:right="1134" w:header="720" w:footer="720"/>
          <w:pgNumType w:start="1"/>
          <w:titlePg w:val="1"/>
        </w:sectPr>
      </w:pPr>
      <w:r w:rsidDel="00000000" w:rsidR="00000000" w:rsidRPr="00000000">
        <w:rPr>
          <w:rFonts w:ascii="Times New Roman" w:cs="Times New Roman" w:eastAsia="Times New Roman" w:hAnsi="Times New Roman"/>
          <w:b w:val="1"/>
          <w:bCs w:val="1"/>
          <w:sz w:val="28"/>
          <w:szCs w:val="28"/>
          <w:rtl w:val="0"/>
        </w:rPr>
        <w:t xml:space="preserve">2025</w:t>
      </w:r>
    </w:p>
    <w:p w:rsidR="00000000" w:rsidDel="00000000" w:rsidP="00000000" w:rsidRDefault="00000000" w:rsidRPr="00000000" w14:paraId="00000024">
      <w:pPr>
        <w:widowControl w:val="0"/>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838749" cy="822959"/>
            <wp:effectExtent b="0" l="0" r="0" t="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838749" cy="822959"/>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6">
      <w:pPr>
        <w:spacing w:after="0" w:line="240" w:lineRule="auto"/>
        <w:ind w:right="140"/>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UNIVERSIDADE FEDERAL RURAL DO RIO DE JANEIRO</w:t>
      </w:r>
    </w:p>
    <w:p w:rsidR="00000000" w:rsidDel="00000000" w:rsidP="00000000" w:rsidRDefault="00000000" w:rsidRPr="00000000" w14:paraId="00000027">
      <w:pPr>
        <w:spacing w:after="0" w:line="240" w:lineRule="auto"/>
        <w:ind w:right="140"/>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INSTITUTO DE CIÊNCIAS SOCIAIS APLICADAS</w:t>
      </w:r>
    </w:p>
    <w:p w:rsidR="00000000" w:rsidDel="00000000" w:rsidP="00000000" w:rsidRDefault="00000000" w:rsidRPr="00000000" w14:paraId="00000028">
      <w:pPr>
        <w:tabs>
          <w:tab w:val="left" w:leader="none" w:pos="7797"/>
        </w:tabs>
        <w:spacing w:after="0" w:line="240" w:lineRule="auto"/>
        <w:ind w:right="140"/>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CURSO DE GRADUAÇÃO EM SERVIÇO SOCIAL</w:t>
      </w:r>
    </w:p>
    <w:p w:rsidR="00000000" w:rsidDel="00000000" w:rsidP="00000000" w:rsidRDefault="00000000" w:rsidRPr="00000000" w14:paraId="00000029">
      <w:pPr>
        <w:widowControl w:val="0"/>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2A">
      <w:pPr>
        <w:widowControl w:val="0"/>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2B">
      <w:pPr>
        <w:widowControl w:val="0"/>
        <w:spacing w:after="0" w:line="240" w:lineRule="auto"/>
        <w:rPr>
          <w:rFonts w:ascii="Times New Roman" w:cs="Times New Roman" w:eastAsia="Times New Roman" w:hAnsi="Times New Roman"/>
          <w:b w:val="1"/>
          <w:bCs w:val="1"/>
          <w:sz w:val="23"/>
          <w:szCs w:val="23"/>
        </w:rPr>
      </w:pPr>
      <w:r w:rsidDel="00000000" w:rsidR="00000000" w:rsidRPr="00000000">
        <w:rPr>
          <w:rtl w:val="0"/>
        </w:rPr>
      </w:r>
    </w:p>
    <w:p w:rsidR="00000000" w:rsidDel="00000000" w:rsidP="00000000" w:rsidRDefault="00000000" w:rsidRPr="00000000" w14:paraId="0000002C">
      <w:pPr>
        <w:spacing w:after="0" w:line="360" w:lineRule="auto"/>
        <w:ind w:right="1270" w:firstLine="709"/>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VOZES CALADAS, DIREITOS VIOLADOS:</w:t>
      </w:r>
    </w:p>
    <w:p w:rsidR="00000000" w:rsidDel="00000000" w:rsidP="00000000" w:rsidRDefault="00000000" w:rsidRPr="00000000" w14:paraId="0000002D">
      <w:pPr>
        <w:spacing w:after="0" w:line="360" w:lineRule="auto"/>
        <w:ind w:right="1270"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QUEBRANDO O SILÊNCIO SOBRE O ABUSO SEXUAL</w:t>
      </w:r>
    </w:p>
    <w:p w:rsidR="00000000" w:rsidDel="00000000" w:rsidP="00000000" w:rsidRDefault="00000000" w:rsidRPr="00000000" w14:paraId="0000002E">
      <w:pPr>
        <w:spacing w:after="0" w:line="360" w:lineRule="auto"/>
        <w:ind w:right="1270"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INTRAFAMILIAR DE CRIANÇAS E ADOLESCENTES</w:t>
      </w:r>
    </w:p>
    <w:p w:rsidR="00000000" w:rsidDel="00000000" w:rsidP="00000000" w:rsidRDefault="00000000" w:rsidRPr="00000000" w14:paraId="0000002F">
      <w:pPr>
        <w:widowControl w:val="0"/>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30">
      <w:pPr>
        <w:widowControl w:val="0"/>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31">
      <w:pPr>
        <w:widowControl w:val="0"/>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32">
      <w:pPr>
        <w:spacing w:after="0"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ELISA CARVALHO VILLET PINHEIRO</w:t>
      </w:r>
    </w:p>
    <w:p w:rsidR="00000000" w:rsidDel="00000000" w:rsidP="00000000" w:rsidRDefault="00000000" w:rsidRPr="00000000" w14:paraId="00000033">
      <w:pPr>
        <w:widowControl w:val="0"/>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34">
      <w:pPr>
        <w:widowControl w:val="0"/>
        <w:spacing w:after="0" w:line="240" w:lineRule="auto"/>
        <w:rPr>
          <w:rFonts w:ascii="Times New Roman" w:cs="Times New Roman" w:eastAsia="Times New Roman" w:hAnsi="Times New Roman"/>
          <w:b w:val="1"/>
          <w:bCs w:val="1"/>
          <w:sz w:val="25"/>
          <w:szCs w:val="25"/>
        </w:rPr>
      </w:pPr>
      <w:r w:rsidDel="00000000" w:rsidR="00000000" w:rsidRPr="00000000">
        <w:rPr>
          <w:rtl w:val="0"/>
        </w:rPr>
      </w:r>
    </w:p>
    <w:p w:rsidR="00000000" w:rsidDel="00000000" w:rsidP="00000000" w:rsidRDefault="00000000" w:rsidRPr="00000000" w14:paraId="00000035">
      <w:pPr>
        <w:tabs>
          <w:tab w:val="left" w:leader="none" w:pos="6096"/>
        </w:tabs>
        <w:spacing w:after="0" w:line="242"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Sob a Orientação da Professora</w:t>
      </w:r>
    </w:p>
    <w:p w:rsidR="00000000" w:rsidDel="00000000" w:rsidP="00000000" w:rsidRDefault="00000000" w:rsidRPr="00000000" w14:paraId="00000036">
      <w:pPr>
        <w:tabs>
          <w:tab w:val="left" w:leader="none" w:pos="6096"/>
        </w:tabs>
        <w:spacing w:after="0" w:line="242" w:lineRule="auto"/>
        <w:jc w:val="center"/>
        <w:rPr>
          <w:rFonts w:ascii="Times New Roman" w:cs="Times New Roman" w:eastAsia="Times New Roman" w:hAnsi="Times New Roman"/>
          <w:b w:val="1"/>
          <w:bCs w:val="1"/>
          <w:sz w:val="28"/>
          <w:szCs w:val="28"/>
        </w:rPr>
      </w:pPr>
      <w:bookmarkStart w:colFirst="0" w:colLast="0" w:name="_hzdmirnd4p9s" w:id="0"/>
      <w:bookmarkEnd w:id="0"/>
      <w:r w:rsidDel="00000000" w:rsidR="00000000" w:rsidRPr="00000000">
        <w:rPr>
          <w:rFonts w:ascii="Times New Roman" w:cs="Times New Roman" w:eastAsia="Times New Roman" w:hAnsi="Times New Roman"/>
          <w:b w:val="1"/>
          <w:bCs w:val="1"/>
          <w:sz w:val="28"/>
          <w:szCs w:val="28"/>
          <w:rtl w:val="0"/>
        </w:rPr>
        <w:t xml:space="preserve">Adriana Santos Silva</w:t>
      </w:r>
      <w:r w:rsidDel="00000000" w:rsidR="00000000" w:rsidRPr="00000000">
        <w:rPr>
          <w:rtl w:val="0"/>
        </w:rPr>
      </w:r>
    </w:p>
    <w:p w:rsidR="00000000" w:rsidDel="00000000" w:rsidP="00000000" w:rsidRDefault="00000000" w:rsidRPr="00000000" w14:paraId="00000037">
      <w:pPr>
        <w:tabs>
          <w:tab w:val="left" w:leader="none" w:pos="6096"/>
        </w:tabs>
        <w:spacing w:after="0" w:line="242"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8">
      <w:pPr>
        <w:tabs>
          <w:tab w:val="left" w:leader="none" w:pos="6096"/>
        </w:tabs>
        <w:spacing w:after="0" w:line="242"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e Co-orientação da Professora</w:t>
      </w:r>
    </w:p>
    <w:p w:rsidR="00000000" w:rsidDel="00000000" w:rsidP="00000000" w:rsidRDefault="00000000" w:rsidRPr="00000000" w14:paraId="00000039">
      <w:pPr>
        <w:tabs>
          <w:tab w:val="left" w:leader="none" w:pos="6096"/>
        </w:tabs>
        <w:spacing w:after="0" w:line="24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8"/>
          <w:szCs w:val="28"/>
          <w:rtl w:val="0"/>
        </w:rPr>
        <w:t xml:space="preserve">Fabiana Schmidt</w:t>
      </w:r>
      <w:r w:rsidDel="00000000" w:rsidR="00000000" w:rsidRPr="00000000">
        <w:rPr>
          <w:rtl w:val="0"/>
        </w:rPr>
      </w:r>
    </w:p>
    <w:p w:rsidR="00000000" w:rsidDel="00000000" w:rsidP="00000000" w:rsidRDefault="00000000" w:rsidRPr="00000000" w14:paraId="0000003A">
      <w:pPr>
        <w:widowControl w:val="0"/>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3B">
      <w:pPr>
        <w:widowControl w:val="0"/>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3C">
      <w:pPr>
        <w:widowControl w:val="0"/>
        <w:spacing w:after="0" w:line="240" w:lineRule="auto"/>
        <w:ind w:left="4536"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D">
      <w:pPr>
        <w:widowControl w:val="0"/>
        <w:spacing w:after="0" w:line="240" w:lineRule="auto"/>
        <w:ind w:left="453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Trabalho de Conclusão de Curso apresentado ao Curso de Serviço Social da Universidade Federal Rural do Rio de Janeiro, como parte das exigências para obtenção do título de bacharel em Serviço Social.</w:t>
      </w:r>
    </w:p>
    <w:p w:rsidR="00000000" w:rsidDel="00000000" w:rsidP="00000000" w:rsidRDefault="00000000" w:rsidRPr="00000000" w14:paraId="0000003E">
      <w:pPr>
        <w:widowControl w:val="0"/>
        <w:spacing w:after="0" w:line="240" w:lineRule="auto"/>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F">
      <w:pPr>
        <w:widowControl w:val="0"/>
        <w:spacing w:after="0" w:line="240" w:lineRule="auto"/>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0">
      <w:pPr>
        <w:widowControl w:val="0"/>
        <w:spacing w:after="0" w:line="240" w:lineRule="auto"/>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1">
      <w:pPr>
        <w:widowControl w:val="0"/>
        <w:spacing w:after="0" w:line="240" w:lineRule="auto"/>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2">
      <w:pPr>
        <w:spacing w:after="0" w:line="278.0000000000000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Seropédica, RJ</w:t>
      </w:r>
    </w:p>
    <w:p w:rsidR="00000000" w:rsidDel="00000000" w:rsidP="00000000" w:rsidRDefault="00000000" w:rsidRPr="00000000" w14:paraId="00000043">
      <w:pPr>
        <w:spacing w:after="0" w:line="27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Dezembro de 2025</w:t>
      </w:r>
      <w:r w:rsidDel="00000000" w:rsidR="00000000" w:rsidRPr="00000000">
        <w:rPr>
          <w:rtl w:val="0"/>
        </w:rPr>
      </w:r>
    </w:p>
    <w:p w:rsidR="00000000" w:rsidDel="00000000" w:rsidP="00000000" w:rsidRDefault="00000000" w:rsidRPr="00000000" w14:paraId="00000044">
      <w:pPr>
        <w:widowControl w:val="0"/>
        <w:spacing w:after="0" w:before="89" w:line="240" w:lineRule="auto"/>
        <w:ind w:left="-992.1259842519685" w:right="1268"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Pr>
        <w:drawing>
          <wp:inline distB="114300" distT="114300" distL="114300" distR="114300">
            <wp:extent cx="6697163" cy="9464585"/>
            <wp:effectExtent b="0" l="0" r="0" t="0"/>
            <wp:docPr id="4"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6697163" cy="946458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widowControl w:val="0"/>
        <w:spacing w:after="0" w:before="9" w:line="240" w:lineRule="auto"/>
        <w:ind w:right="-987.9921259842507" w:hanging="1559.055118110236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36612" cy="9941728"/>
            <wp:effectExtent b="0" l="0" r="0" t="0"/>
            <wp:docPr id="2"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7036612" cy="9941728"/>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widowControl w:val="0"/>
        <w:spacing w:after="0" w:before="9" w:line="240" w:lineRule="auto"/>
        <w:ind w:left="-1559.0551181102362" w:right="-1129.7244094488178"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922312" cy="9781529"/>
            <wp:effectExtent b="0" l="0" r="0" t="0"/>
            <wp:docPr id="1"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6922312" cy="9781529"/>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8">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9">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A">
      <w:pPr>
        <w:widowControl w:val="0"/>
        <w:spacing w:after="0" w:before="9" w:line="240" w:lineRule="auto"/>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B">
      <w:pPr>
        <w:widowControl w:val="0"/>
        <w:spacing w:after="0" w:before="9" w:line="240" w:lineRule="auto"/>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C">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D">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E">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F">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0">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1">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2">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3">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4">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5">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6">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7">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8">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9">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A">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B">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C">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D">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E">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F">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0">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1">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2">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3">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4">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5">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6">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7">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8">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9">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A">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B">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C">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D">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E">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F">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0">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1">
      <w:pPr>
        <w:widowControl w:val="0"/>
        <w:spacing w:after="0" w:before="9"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2">
      <w:pPr>
        <w:widowControl w:val="0"/>
        <w:spacing w:after="0" w:before="9" w:line="240" w:lineRule="auto"/>
        <w:ind w:left="4535.433070866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Dedico este trabalho à menina Elisa, que por tanto passou e chegou até aqui. Eu, finalmente, te acolho.</w:t>
      </w:r>
    </w:p>
    <w:p w:rsidR="00000000" w:rsidDel="00000000" w:rsidP="00000000" w:rsidRDefault="00000000" w:rsidRPr="00000000" w14:paraId="00000073">
      <w:pPr>
        <w:widowControl w:val="0"/>
        <w:spacing w:after="0" w:before="9" w:line="240" w:lineRule="auto"/>
        <w:ind w:left="4535.433070866142"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widowControl w:val="0"/>
        <w:spacing w:after="0" w:before="9" w:line="240" w:lineRule="auto"/>
        <w:ind w:left="4535.433070866142"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widowControl w:val="0"/>
        <w:spacing w:after="0" w:before="9"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6">
      <w:pPr>
        <w:widowControl w:val="0"/>
        <w:spacing w:after="0" w:before="9"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AGRADECIMENTOS</w:t>
      </w:r>
    </w:p>
    <w:p w:rsidR="00000000" w:rsidDel="00000000" w:rsidP="00000000" w:rsidRDefault="00000000" w:rsidRPr="00000000" w14:paraId="00000077">
      <w:pPr>
        <w:widowControl w:val="0"/>
        <w:spacing w:after="0" w:before="1" w:line="240" w:lineRule="auto"/>
        <w:ind w:right="127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widowControl w:val="0"/>
        <w:spacing w:after="0" w:before="1" w:line="360" w:lineRule="auto"/>
        <w:ind w:right="4.133858267717301"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widowControl w:val="0"/>
        <w:spacing w:after="0" w:before="1" w:line="360" w:lineRule="auto"/>
        <w:ind w:right="4.133858267717301"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Desde que me imaginei escrevendo esses agradecimentos, sofri com o fato da enumeração das pessoas envolvidas no processo árduo que é se manter numa universidade pública e mais ainda de se concluir, pois não me parece justo essa classificação e faz parecer que existe uma ordem de importância, quando eu considero todo mundo junto, sem suas particularidades - contudo, não dá para colocar todo mesmo agradecimento exatamente por essas particularidades (contraditório, mas tem sentido).</w:t>
      </w:r>
    </w:p>
    <w:p w:rsidR="00000000" w:rsidDel="00000000" w:rsidP="00000000" w:rsidRDefault="00000000" w:rsidRPr="00000000" w14:paraId="0000007A">
      <w:pPr>
        <w:widowControl w:val="0"/>
        <w:spacing w:after="0" w:before="1" w:line="360" w:lineRule="auto"/>
        <w:ind w:right="4.133858267717301"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isso, gostaria de agradecer à minha família - mãe, irmão e “namorido” - por estarem aqui, mesmo quando eu entro em surto. Vocês são a minha base. Eu vivo por vocês. Ao Brian, meu irmão, por me fazer criar responsabilidades e entender o amor fraterno; à Priscila, minha mãe, por ser esse exemplo de mulher incrível que eu tanto admiro, por me ajudar de todas as formas imagináveis e inimagináveis - eu sempre sei que posso contar com você -; e ao Archimedes, meu namorado, meu amor, que me apoiou e apoia em tudo, mesmo com suas próprias questões e dificuldades.</w:t>
      </w:r>
    </w:p>
    <w:p w:rsidR="00000000" w:rsidDel="00000000" w:rsidP="00000000" w:rsidRDefault="00000000" w:rsidRPr="00000000" w14:paraId="0000007B">
      <w:pPr>
        <w:widowControl w:val="0"/>
        <w:spacing w:after="0" w:before="1" w:line="360" w:lineRule="auto"/>
        <w:ind w:right="4.133858267717301"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Agradeço ao que foi a minha segunda família enquanto estive neste processo de formação superior, especialmente meu avô materno Jorge Carvalho e minha tia-avó Geizi Jane Carvalho. Vocês são aqueles que possibilitaram este sonho virar realidade. São de uma importância ímpar em minha vida. Obrigada por iluminar meu caminho.</w:t>
      </w:r>
    </w:p>
    <w:p w:rsidR="00000000" w:rsidDel="00000000" w:rsidP="00000000" w:rsidRDefault="00000000" w:rsidRPr="00000000" w14:paraId="0000007C">
      <w:pPr>
        <w:widowControl w:val="0"/>
        <w:spacing w:after="0" w:before="1" w:line="360" w:lineRule="auto"/>
        <w:ind w:right="4.133858267717301"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Ao meu (</w:t>
      </w:r>
      <w:r w:rsidDel="00000000" w:rsidR="00000000" w:rsidRPr="00000000">
        <w:rPr>
          <w:rFonts w:ascii="Times New Roman" w:cs="Times New Roman" w:eastAsia="Times New Roman" w:hAnsi="Times New Roman"/>
          <w:sz w:val="24"/>
          <w:szCs w:val="24"/>
          <w:rtl w:val="0"/>
        </w:rPr>
        <w:t xml:space="preserve">des</w:t>
      </w:r>
      <w:r w:rsidDel="00000000" w:rsidR="00000000" w:rsidRPr="00000000">
        <w:rPr>
          <w:rFonts w:ascii="Times New Roman" w:cs="Times New Roman" w:eastAsia="Times New Roman" w:hAnsi="Times New Roman"/>
          <w:sz w:val="24"/>
          <w:szCs w:val="24"/>
          <w:rtl w:val="0"/>
        </w:rPr>
        <w:t xml:space="preserve">)querido colega de quarto e de curso nesse período, Pedro da Conceição. Você se tornou um irmão completo com seu companheirismo, conselhos, acolhimentos, ajudas, brigas e incontáveis implicâncias. Eu espero que nossos caminhos continuem confluindo após este encerramento de fase. “Eu te odeio, coisa chata”.</w:t>
      </w:r>
    </w:p>
    <w:p w:rsidR="00000000" w:rsidDel="00000000" w:rsidP="00000000" w:rsidRDefault="00000000" w:rsidRPr="00000000" w14:paraId="0000007D">
      <w:pPr>
        <w:widowControl w:val="0"/>
        <w:spacing w:after="0" w:before="1" w:line="360" w:lineRule="auto"/>
        <w:ind w:right="4.133858267717301"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À minha psicóloga, Karol Moreno, que me possibilitou escrever este trabalho como forma de ressignificação.</w:t>
      </w:r>
    </w:p>
    <w:p w:rsidR="00000000" w:rsidDel="00000000" w:rsidP="00000000" w:rsidRDefault="00000000" w:rsidRPr="00000000" w14:paraId="0000007E">
      <w:pPr>
        <w:widowControl w:val="0"/>
        <w:spacing w:after="0" w:before="1" w:line="360" w:lineRule="auto"/>
        <w:ind w:right="4.133858267717301"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Às profissionais maravilhosas que tiveram atuação direta na minha formação acadêmica: professor Jorge Pereira, professoras Adriana Amaral, Carmen Frade, Marisol Orrego, Monica Benevenuto, Patrícia Freitas, Simone Barros, Suelen Guariento e Tatiane Pinto, às minhas supervisoras de estágio Meiryellem Valentim e Tatiane Reis; e, especialmente, às minhas duas queridas orientadoras neste trabalho: Adriana Silva e Fabiana Schmidt, obrigada por não desistirem de mim - quando eu mesma quis fazer isso.</w:t>
      </w:r>
    </w:p>
    <w:p w:rsidR="00000000" w:rsidDel="00000000" w:rsidP="00000000" w:rsidRDefault="00000000" w:rsidRPr="00000000" w14:paraId="0000007F">
      <w:pPr>
        <w:widowControl w:val="0"/>
        <w:spacing w:after="0" w:before="1" w:line="360" w:lineRule="auto"/>
        <w:ind w:right="4.133858267717301" w:firstLine="72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4"/>
          <w:szCs w:val="24"/>
          <w:rtl w:val="0"/>
        </w:rPr>
        <w:t xml:space="preserve">E finalmente, mas nunca menos importante, à minha pequena e grande Elisa, obrigada por ter suportado tantas coisas e por ter chegado até aqui. Este não é o fim.</w:t>
      </w:r>
      <w:r w:rsidDel="00000000" w:rsidR="00000000" w:rsidRPr="00000000">
        <w:rPr>
          <w:rtl w:val="0"/>
        </w:rPr>
      </w:r>
    </w:p>
    <w:p w:rsidR="00000000" w:rsidDel="00000000" w:rsidP="00000000" w:rsidRDefault="00000000" w:rsidRPr="00000000" w14:paraId="00000080">
      <w:pPr>
        <w:widowControl w:val="0"/>
        <w:spacing w:after="0" w:before="1"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8"/>
          <w:szCs w:val="28"/>
          <w:rtl w:val="0"/>
        </w:rPr>
        <w:t xml:space="preserve">RESUMO</w:t>
      </w:r>
      <w:r w:rsidDel="00000000" w:rsidR="00000000" w:rsidRPr="00000000">
        <w:rPr>
          <w:rtl w:val="0"/>
        </w:rPr>
      </w:r>
    </w:p>
    <w:p w:rsidR="00000000" w:rsidDel="00000000" w:rsidP="00000000" w:rsidRDefault="00000000" w:rsidRPr="00000000" w14:paraId="00000081">
      <w:pPr>
        <w:widowControl w:val="0"/>
        <w:spacing w:after="0" w:before="1" w:line="360" w:lineRule="auto"/>
        <w:ind w:right="4.13385826771730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widowControl w:val="0"/>
        <w:spacing w:after="0" w:before="1" w:line="360" w:lineRule="auto"/>
        <w:ind w:right="4.1338582677173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presente Trabalho de Conclusão de Curso tem por objetivo analisar o fenômeno da violência sexual intrafamiliar contra crianças e adolescentes, considerando suas dimensões sociais, culturais e jurídicas, bem como os mecanismos de prevenção e responsabilização. A pesquisa desenvolvida apresenta caráter qualitativo, com abordagem bibliográfica e documental, utilizando como fontes artigos científicos, livros, relatórios oficiais, legislações brasileiras, como a Constituição Federal, o Estatuto da Criança e do Adolescente, o Código Penal, e dados estatísticos que visam a aproximação e contextualização da realidade, retirados de pesquisas de fontes oficiais, como o Fórum Brasileiro de Segurança Pública e o Atlas da Violência. A análise busca fomentar o debate acerca do fenômeno dessa violência sexual dentro de um contexto de construção sócio-histórica e cultural que fortaleceu e fortalece a cultura de legitimação social do estupro contra crianças e adolescentes por parte de familiares e parentes, abrindo espaço também para a distinção de fases da violação.</w:t>
      </w:r>
    </w:p>
    <w:p w:rsidR="00000000" w:rsidDel="00000000" w:rsidP="00000000" w:rsidRDefault="00000000" w:rsidRPr="00000000" w14:paraId="00000083">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widowControl w:val="0"/>
        <w:spacing w:after="0" w:before="0" w:line="360" w:lineRule="auto"/>
        <w:ind w:right="4.1338582677173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Palavras-chave:</w:t>
      </w:r>
      <w:r w:rsidDel="00000000" w:rsidR="00000000" w:rsidRPr="00000000">
        <w:rPr>
          <w:rFonts w:ascii="Times New Roman" w:cs="Times New Roman" w:eastAsia="Times New Roman" w:hAnsi="Times New Roman"/>
          <w:sz w:val="24"/>
          <w:szCs w:val="24"/>
          <w:rtl w:val="0"/>
        </w:rPr>
        <w:t xml:space="preserve"> Relações de Poder; Violência Sexual Intrafamiliar; Crianças e Adolescentes; Patriarcado; Direitos Humanos.</w:t>
      </w:r>
    </w:p>
    <w:p w:rsidR="00000000" w:rsidDel="00000000" w:rsidP="00000000" w:rsidRDefault="00000000" w:rsidRPr="00000000" w14:paraId="00000085">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widowControl w:val="0"/>
        <w:spacing w:after="0" w:before="1"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8"/>
          <w:szCs w:val="28"/>
          <w:rtl w:val="0"/>
        </w:rPr>
        <w:t xml:space="preserve">ABSTRACT</w:t>
      </w:r>
      <w:r w:rsidDel="00000000" w:rsidR="00000000" w:rsidRPr="00000000">
        <w:rPr>
          <w:rtl w:val="0"/>
        </w:rPr>
      </w:r>
    </w:p>
    <w:p w:rsidR="00000000" w:rsidDel="00000000" w:rsidP="00000000" w:rsidRDefault="00000000" w:rsidRPr="00000000" w14:paraId="0000009F">
      <w:pPr>
        <w:widowControl w:val="0"/>
        <w:spacing w:after="0" w:line="360" w:lineRule="auto"/>
        <w:ind w:right="4.13385826771730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widowControl w:val="0"/>
        <w:spacing w:after="0" w:line="360" w:lineRule="auto"/>
        <w:ind w:right="4.1338582677173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present Final Paper aims to analyze the phenomenon of intrafamilial sexual violence against children and adolescents, considering its social, cultural, and legal dimensions, as well as the mechanisms of prevention and accountability. The research conducted has a qualitative character, with a bibliographic and documentary approach, using as sources scientific articles, books, official reports, Brazilian legislation—such as the Federal Constitution, the Statute of Children and Adolescents, and the Penal Code—and statistical data intended to approximate and contextualize the reality, drawn from studies by official sources such as the Brazilian Forum on Public Security and the Atlas of Violence. The analysis seeks to foster debate about the phenomenon of this sexual violence within a context of socio-historical and cultural construction that has strengthened—and continues to strengthen—the culture of social legitimation of rape against children and adolescents by family members and relatives, while also creating space for distinguishing different stages of the violation.</w:t>
      </w:r>
    </w:p>
    <w:p w:rsidR="00000000" w:rsidDel="00000000" w:rsidP="00000000" w:rsidRDefault="00000000" w:rsidRPr="00000000" w14:paraId="000000A1">
      <w:pPr>
        <w:widowControl w:val="0"/>
        <w:spacing w:after="0" w:line="360" w:lineRule="auto"/>
        <w:ind w:right="4.13385826771730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widowControl w:val="0"/>
        <w:spacing w:after="0" w:line="360" w:lineRule="auto"/>
        <w:ind w:right="4.1338582677173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Keywords:</w:t>
      </w:r>
      <w:r w:rsidDel="00000000" w:rsidR="00000000" w:rsidRPr="00000000">
        <w:rPr>
          <w:rFonts w:ascii="Times New Roman" w:cs="Times New Roman" w:eastAsia="Times New Roman" w:hAnsi="Times New Roman"/>
          <w:sz w:val="24"/>
          <w:szCs w:val="24"/>
          <w:rtl w:val="0"/>
        </w:rPr>
        <w:t xml:space="preserve"> Power Relations; Intrafamilial Sexual Violence; Children and Adolescents; Patriarchy; Human Rights</w:t>
      </w:r>
    </w:p>
    <w:p w:rsidR="00000000" w:rsidDel="00000000" w:rsidP="00000000" w:rsidRDefault="00000000" w:rsidRPr="00000000" w14:paraId="000000A3">
      <w:pPr>
        <w:widowControl w:val="0"/>
        <w:spacing w:after="0" w:line="360" w:lineRule="auto"/>
        <w:ind w:right="4.13385826771730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widowControl w:val="0"/>
        <w:spacing w:after="0" w:before="1"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A">
      <w:pPr>
        <w:widowControl w:val="0"/>
        <w:spacing w:after="0" w:before="1"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B">
      <w:pPr>
        <w:widowControl w:val="0"/>
        <w:spacing w:after="0" w:before="1"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LISTA DE ABREVIATURAS E SIGLAS</w:t>
      </w:r>
    </w:p>
    <w:p w:rsidR="00000000" w:rsidDel="00000000" w:rsidP="00000000" w:rsidRDefault="00000000" w:rsidRPr="00000000" w14:paraId="000000BC">
      <w:pPr>
        <w:widowControl w:val="0"/>
        <w:spacing w:after="0" w:before="1" w:line="36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widowControl w:val="0"/>
        <w:spacing w:after="0" w:before="1" w:line="360" w:lineRule="auto"/>
        <w:ind w:right="127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Art.</w:t>
      </w:r>
      <w:r w:rsidDel="00000000" w:rsidR="00000000" w:rsidRPr="00000000">
        <w:rPr>
          <w:rFonts w:ascii="Times New Roman" w:cs="Times New Roman" w:eastAsia="Times New Roman" w:hAnsi="Times New Roman"/>
          <w:sz w:val="24"/>
          <w:szCs w:val="24"/>
          <w:rtl w:val="0"/>
        </w:rPr>
        <w:t xml:space="preserve"> - Artigo</w:t>
      </w:r>
    </w:p>
    <w:p w:rsidR="00000000" w:rsidDel="00000000" w:rsidP="00000000" w:rsidRDefault="00000000" w:rsidRPr="00000000" w14:paraId="000000BE">
      <w:pPr>
        <w:widowControl w:val="0"/>
        <w:spacing w:after="0" w:before="1" w:line="360" w:lineRule="auto"/>
        <w:ind w:right="127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CF</w:t>
      </w:r>
      <w:r w:rsidDel="00000000" w:rsidR="00000000" w:rsidRPr="00000000">
        <w:rPr>
          <w:rFonts w:ascii="Times New Roman" w:cs="Times New Roman" w:eastAsia="Times New Roman" w:hAnsi="Times New Roman"/>
          <w:sz w:val="24"/>
          <w:szCs w:val="24"/>
          <w:rtl w:val="0"/>
        </w:rPr>
        <w:t xml:space="preserve"> - Constituição Federal</w:t>
      </w:r>
    </w:p>
    <w:p w:rsidR="00000000" w:rsidDel="00000000" w:rsidP="00000000" w:rsidRDefault="00000000" w:rsidRPr="00000000" w14:paraId="000000BF">
      <w:pPr>
        <w:widowControl w:val="0"/>
        <w:spacing w:after="0" w:before="1" w:line="360" w:lineRule="auto"/>
        <w:ind w:right="127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CONANDA</w:t>
      </w:r>
      <w:r w:rsidDel="00000000" w:rsidR="00000000" w:rsidRPr="00000000">
        <w:rPr>
          <w:rFonts w:ascii="Times New Roman" w:cs="Times New Roman" w:eastAsia="Times New Roman" w:hAnsi="Times New Roman"/>
          <w:sz w:val="24"/>
          <w:szCs w:val="24"/>
          <w:rtl w:val="0"/>
        </w:rPr>
        <w:t xml:space="preserve"> - Conselho Nacional dos Direitos da Criança e do Adolescente</w:t>
      </w:r>
    </w:p>
    <w:p w:rsidR="00000000" w:rsidDel="00000000" w:rsidP="00000000" w:rsidRDefault="00000000" w:rsidRPr="00000000" w14:paraId="000000C0">
      <w:pPr>
        <w:widowControl w:val="0"/>
        <w:spacing w:after="0" w:before="1" w:line="360" w:lineRule="auto"/>
        <w:ind w:right="127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 Código Penal</w:t>
      </w:r>
    </w:p>
    <w:p w:rsidR="00000000" w:rsidDel="00000000" w:rsidP="00000000" w:rsidRDefault="00000000" w:rsidRPr="00000000" w14:paraId="000000C1">
      <w:pPr>
        <w:widowControl w:val="0"/>
        <w:spacing w:after="0" w:before="1" w:line="360" w:lineRule="auto"/>
        <w:ind w:right="127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CREAS </w:t>
      </w:r>
      <w:r w:rsidDel="00000000" w:rsidR="00000000" w:rsidRPr="00000000">
        <w:rPr>
          <w:rFonts w:ascii="Times New Roman" w:cs="Times New Roman" w:eastAsia="Times New Roman" w:hAnsi="Times New Roman"/>
          <w:sz w:val="24"/>
          <w:szCs w:val="24"/>
          <w:rtl w:val="0"/>
        </w:rPr>
        <w:t xml:space="preserve">- Centro de Referência Especializado de Assistência Social</w:t>
      </w:r>
    </w:p>
    <w:p w:rsidR="00000000" w:rsidDel="00000000" w:rsidP="00000000" w:rsidRDefault="00000000" w:rsidRPr="00000000" w14:paraId="000000C2">
      <w:pPr>
        <w:widowControl w:val="0"/>
        <w:spacing w:after="0" w:before="1" w:line="360" w:lineRule="auto"/>
        <w:ind w:right="127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CT </w:t>
      </w:r>
      <w:r w:rsidDel="00000000" w:rsidR="00000000" w:rsidRPr="00000000">
        <w:rPr>
          <w:rFonts w:ascii="Times New Roman" w:cs="Times New Roman" w:eastAsia="Times New Roman" w:hAnsi="Times New Roman"/>
          <w:sz w:val="24"/>
          <w:szCs w:val="24"/>
          <w:rtl w:val="0"/>
        </w:rPr>
        <w:t xml:space="preserve">- Conselho(s) Tutelar(es)</w:t>
      </w:r>
    </w:p>
    <w:p w:rsidR="00000000" w:rsidDel="00000000" w:rsidP="00000000" w:rsidRDefault="00000000" w:rsidRPr="00000000" w14:paraId="000000C3">
      <w:pPr>
        <w:widowControl w:val="0"/>
        <w:spacing w:after="0" w:before="1" w:line="360" w:lineRule="auto"/>
        <w:ind w:right="127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DE</w:t>
      </w:r>
      <w:r w:rsidDel="00000000" w:rsidR="00000000" w:rsidRPr="00000000">
        <w:rPr>
          <w:rFonts w:ascii="Times New Roman" w:cs="Times New Roman" w:eastAsia="Times New Roman" w:hAnsi="Times New Roman"/>
          <w:sz w:val="24"/>
          <w:szCs w:val="24"/>
          <w:rtl w:val="0"/>
        </w:rPr>
        <w:t xml:space="preserve"> - Depoimento Especial</w:t>
      </w:r>
    </w:p>
    <w:p w:rsidR="00000000" w:rsidDel="00000000" w:rsidP="00000000" w:rsidRDefault="00000000" w:rsidRPr="00000000" w14:paraId="000000C4">
      <w:pPr>
        <w:widowControl w:val="0"/>
        <w:spacing w:after="0" w:before="1" w:line="360" w:lineRule="auto"/>
        <w:ind w:right="127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DSD</w:t>
      </w:r>
      <w:r w:rsidDel="00000000" w:rsidR="00000000" w:rsidRPr="00000000">
        <w:rPr>
          <w:rFonts w:ascii="Times New Roman" w:cs="Times New Roman" w:eastAsia="Times New Roman" w:hAnsi="Times New Roman"/>
          <w:sz w:val="24"/>
          <w:szCs w:val="24"/>
          <w:rtl w:val="0"/>
        </w:rPr>
        <w:t xml:space="preserve"> - Depoimento Sem Dano</w:t>
      </w:r>
    </w:p>
    <w:p w:rsidR="00000000" w:rsidDel="00000000" w:rsidP="00000000" w:rsidRDefault="00000000" w:rsidRPr="00000000" w14:paraId="000000C5">
      <w:pPr>
        <w:widowControl w:val="0"/>
        <w:spacing w:after="0" w:before="1" w:line="360" w:lineRule="auto"/>
        <w:ind w:right="127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ECA</w:t>
      </w:r>
      <w:r w:rsidDel="00000000" w:rsidR="00000000" w:rsidRPr="00000000">
        <w:rPr>
          <w:rFonts w:ascii="Times New Roman" w:cs="Times New Roman" w:eastAsia="Times New Roman" w:hAnsi="Times New Roman"/>
          <w:sz w:val="24"/>
          <w:szCs w:val="24"/>
          <w:rtl w:val="0"/>
        </w:rPr>
        <w:t xml:space="preserve"> - Estatuto da Criança e do Adolescente</w:t>
      </w:r>
    </w:p>
    <w:p w:rsidR="00000000" w:rsidDel="00000000" w:rsidP="00000000" w:rsidRDefault="00000000" w:rsidRPr="00000000" w14:paraId="000000C6">
      <w:pPr>
        <w:widowControl w:val="0"/>
        <w:spacing w:after="0" w:before="1" w:line="360" w:lineRule="auto"/>
        <w:ind w:right="127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ETICrim</w:t>
      </w:r>
      <w:r w:rsidDel="00000000" w:rsidR="00000000" w:rsidRPr="00000000">
        <w:rPr>
          <w:rFonts w:ascii="Times New Roman" w:cs="Times New Roman" w:eastAsia="Times New Roman" w:hAnsi="Times New Roman"/>
          <w:sz w:val="24"/>
          <w:szCs w:val="24"/>
          <w:rtl w:val="0"/>
        </w:rPr>
        <w:t xml:space="preserve"> - Equipe Técnica Interdisciplinar Criminal</w:t>
      </w:r>
    </w:p>
    <w:p w:rsidR="00000000" w:rsidDel="00000000" w:rsidP="00000000" w:rsidRDefault="00000000" w:rsidRPr="00000000" w14:paraId="000000C7">
      <w:pPr>
        <w:widowControl w:val="0"/>
        <w:spacing w:after="0" w:before="1" w:line="360" w:lineRule="auto"/>
        <w:ind w:right="127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FBSP</w:t>
      </w:r>
      <w:r w:rsidDel="00000000" w:rsidR="00000000" w:rsidRPr="00000000">
        <w:rPr>
          <w:rFonts w:ascii="Times New Roman" w:cs="Times New Roman" w:eastAsia="Times New Roman" w:hAnsi="Times New Roman"/>
          <w:sz w:val="24"/>
          <w:szCs w:val="24"/>
          <w:rtl w:val="0"/>
        </w:rPr>
        <w:t xml:space="preserve"> - Fórum Brasileiro de Segurança Pública</w:t>
      </w:r>
    </w:p>
    <w:p w:rsidR="00000000" w:rsidDel="00000000" w:rsidP="00000000" w:rsidRDefault="00000000" w:rsidRPr="00000000" w14:paraId="000000C8">
      <w:pPr>
        <w:widowControl w:val="0"/>
        <w:spacing w:after="0" w:before="1" w:line="360" w:lineRule="auto"/>
        <w:ind w:right="127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IST</w:t>
      </w:r>
      <w:r w:rsidDel="00000000" w:rsidR="00000000" w:rsidRPr="00000000">
        <w:rPr>
          <w:rFonts w:ascii="Times New Roman" w:cs="Times New Roman" w:eastAsia="Times New Roman" w:hAnsi="Times New Roman"/>
          <w:sz w:val="24"/>
          <w:szCs w:val="24"/>
          <w:rtl w:val="0"/>
        </w:rPr>
        <w:t xml:space="preserve"> - Infecções Sexualmente Transmissíveis</w:t>
      </w:r>
    </w:p>
    <w:p w:rsidR="00000000" w:rsidDel="00000000" w:rsidP="00000000" w:rsidRDefault="00000000" w:rsidRPr="00000000" w14:paraId="000000C9">
      <w:pPr>
        <w:widowControl w:val="0"/>
        <w:spacing w:after="0" w:before="1" w:line="360" w:lineRule="auto"/>
        <w:ind w:right="127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MMFDH</w:t>
      </w:r>
      <w:r w:rsidDel="00000000" w:rsidR="00000000" w:rsidRPr="00000000">
        <w:rPr>
          <w:rFonts w:ascii="Times New Roman" w:cs="Times New Roman" w:eastAsia="Times New Roman" w:hAnsi="Times New Roman"/>
          <w:sz w:val="24"/>
          <w:szCs w:val="24"/>
          <w:rtl w:val="0"/>
        </w:rPr>
        <w:t xml:space="preserve"> - Ministério da Mulher, da Família e dos Direitos Humanos</w:t>
      </w:r>
    </w:p>
    <w:p w:rsidR="00000000" w:rsidDel="00000000" w:rsidP="00000000" w:rsidRDefault="00000000" w:rsidRPr="00000000" w14:paraId="000000CA">
      <w:pPr>
        <w:widowControl w:val="0"/>
        <w:spacing w:after="0" w:before="1" w:line="360" w:lineRule="auto"/>
        <w:ind w:right="127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MS</w:t>
      </w:r>
      <w:r w:rsidDel="00000000" w:rsidR="00000000" w:rsidRPr="00000000">
        <w:rPr>
          <w:rFonts w:ascii="Times New Roman" w:cs="Times New Roman" w:eastAsia="Times New Roman" w:hAnsi="Times New Roman"/>
          <w:sz w:val="24"/>
          <w:szCs w:val="24"/>
          <w:rtl w:val="0"/>
        </w:rPr>
        <w:t xml:space="preserve"> - Ministério da Saúde</w:t>
      </w:r>
    </w:p>
    <w:p w:rsidR="00000000" w:rsidDel="00000000" w:rsidP="00000000" w:rsidRDefault="00000000" w:rsidRPr="00000000" w14:paraId="000000CB">
      <w:pPr>
        <w:widowControl w:val="0"/>
        <w:spacing w:after="0" w:before="1" w:line="360" w:lineRule="auto"/>
        <w:ind w:right="127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OMS</w:t>
      </w:r>
      <w:r w:rsidDel="00000000" w:rsidR="00000000" w:rsidRPr="00000000">
        <w:rPr>
          <w:rFonts w:ascii="Times New Roman" w:cs="Times New Roman" w:eastAsia="Times New Roman" w:hAnsi="Times New Roman"/>
          <w:sz w:val="24"/>
          <w:szCs w:val="24"/>
          <w:rtl w:val="0"/>
        </w:rPr>
        <w:t xml:space="preserve"> - Organização Mundial da Saúde</w:t>
      </w:r>
    </w:p>
    <w:p w:rsidR="00000000" w:rsidDel="00000000" w:rsidP="00000000" w:rsidRDefault="00000000" w:rsidRPr="00000000" w14:paraId="000000CC">
      <w:pPr>
        <w:widowControl w:val="0"/>
        <w:spacing w:after="0" w:before="1" w:line="360" w:lineRule="auto"/>
        <w:ind w:right="127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PDL</w:t>
      </w:r>
      <w:r w:rsidDel="00000000" w:rsidR="00000000" w:rsidRPr="00000000">
        <w:rPr>
          <w:rFonts w:ascii="Times New Roman" w:cs="Times New Roman" w:eastAsia="Times New Roman" w:hAnsi="Times New Roman"/>
          <w:sz w:val="24"/>
          <w:szCs w:val="24"/>
          <w:rtl w:val="0"/>
        </w:rPr>
        <w:t xml:space="preserve"> - Projeto de Decreto Legislativo</w:t>
      </w:r>
      <w:r w:rsidDel="00000000" w:rsidR="00000000" w:rsidRPr="00000000">
        <w:rPr>
          <w:rtl w:val="0"/>
        </w:rPr>
      </w:r>
    </w:p>
    <w:p w:rsidR="00000000" w:rsidDel="00000000" w:rsidP="00000000" w:rsidRDefault="00000000" w:rsidRPr="00000000" w14:paraId="000000CD">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widowControl w:val="0"/>
        <w:spacing w:after="0" w:before="1" w:line="240" w:lineRule="auto"/>
        <w:ind w:right="12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widowControl w:val="0"/>
        <w:spacing w:after="0" w:before="1"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SUMÁRIO</w:t>
      </w:r>
    </w:p>
    <w:p w:rsidR="00000000" w:rsidDel="00000000" w:rsidP="00000000" w:rsidRDefault="00000000" w:rsidRPr="00000000" w14:paraId="000000E8">
      <w:pPr>
        <w:widowControl w:val="0"/>
        <w:spacing w:after="0" w:before="1"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9">
      <w:pPr>
        <w:widowControl w:val="0"/>
        <w:spacing w:after="0" w:before="1"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A">
      <w:pPr>
        <w:widowControl w:val="0"/>
        <w:spacing w:after="0" w:before="1"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B">
      <w:pPr>
        <w:widowControl w:val="0"/>
        <w:spacing w:after="0" w:before="1"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C">
      <w:pPr>
        <w:widowControl w:val="0"/>
        <w:spacing w:after="0" w:before="1"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D">
      <w:pPr>
        <w:widowControl w:val="0"/>
        <w:spacing w:after="0" w:before="1"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E">
      <w:pPr>
        <w:widowControl w:val="0"/>
        <w:tabs>
          <w:tab w:val="right" w:leader="dot" w:pos="12000"/>
        </w:tabs>
        <w:spacing w:after="0" w:before="60" w:line="360" w:lineRule="auto"/>
        <w:jc w:val="both"/>
        <w:rPr>
          <w:rFonts w:ascii="Arial" w:cs="Arial" w:eastAsia="Arial" w:hAnsi="Arial"/>
          <w:b w:val="1"/>
          <w:bCs w:val="1"/>
        </w:rPr>
      </w:pPr>
      <w:hyperlink w:anchor="_w4ws2ww25yio">
        <w:r w:rsidDel="00000000" w:rsidR="00000000" w:rsidRPr="00000000">
          <w:rPr>
            <w:rFonts w:ascii="Times New Roman" w:cs="Times New Roman" w:eastAsia="Times New Roman" w:hAnsi="Times New Roman"/>
            <w:b w:val="1"/>
            <w:bCs w:val="1"/>
            <w:sz w:val="24"/>
            <w:szCs w:val="24"/>
            <w:rtl w:val="0"/>
          </w:rPr>
          <w:t xml:space="preserve">INTRODUÇÃO</w:t>
          <w:tab/>
          <w:t xml:space="preserve">10</w:t>
        </w:r>
      </w:hyperlink>
      <w:r w:rsidDel="00000000" w:rsidR="00000000" w:rsidRPr="00000000">
        <w:rPr>
          <w:rtl w:val="0"/>
        </w:rPr>
      </w:r>
    </w:p>
    <w:p w:rsidR="00000000" w:rsidDel="00000000" w:rsidP="00000000" w:rsidRDefault="00000000" w:rsidRPr="00000000" w14:paraId="000000EF">
      <w:pPr>
        <w:widowControl w:val="0"/>
        <w:tabs>
          <w:tab w:val="right" w:leader="dot" w:pos="12000"/>
        </w:tabs>
        <w:spacing w:after="0" w:before="60" w:line="360" w:lineRule="auto"/>
        <w:jc w:val="both"/>
        <w:rPr>
          <w:rFonts w:ascii="Arial" w:cs="Arial" w:eastAsia="Arial" w:hAnsi="Arial"/>
          <w:b w:val="1"/>
          <w:bCs w:val="1"/>
        </w:rPr>
      </w:pPr>
      <w:hyperlink w:anchor="_bwg03gpqgnpz">
        <w:r w:rsidDel="00000000" w:rsidR="00000000" w:rsidRPr="00000000">
          <w:rPr>
            <w:rFonts w:ascii="Times New Roman" w:cs="Times New Roman" w:eastAsia="Times New Roman" w:hAnsi="Times New Roman"/>
            <w:b w:val="1"/>
            <w:bCs w:val="1"/>
            <w:sz w:val="24"/>
            <w:szCs w:val="24"/>
            <w:rtl w:val="0"/>
          </w:rPr>
          <w:t xml:space="preserve">1. PATRIARCADO: DISCUSSÃO SOBRE GÊNERO E RELAÇÕES DE PODER OPRESSIVAS</w:t>
          <w:tab/>
          <w:t xml:space="preserve">13</w:t>
        </w:r>
      </w:hyperlink>
      <w:r w:rsidDel="00000000" w:rsidR="00000000" w:rsidRPr="00000000">
        <w:rPr>
          <w:rtl w:val="0"/>
        </w:rPr>
      </w:r>
    </w:p>
    <w:p w:rsidR="00000000" w:rsidDel="00000000" w:rsidP="00000000" w:rsidRDefault="00000000" w:rsidRPr="00000000" w14:paraId="000000F0">
      <w:pPr>
        <w:widowControl w:val="0"/>
        <w:tabs>
          <w:tab w:val="right" w:leader="dot" w:pos="12000"/>
        </w:tabs>
        <w:spacing w:after="0" w:before="60" w:line="360" w:lineRule="auto"/>
        <w:jc w:val="both"/>
        <w:rPr>
          <w:rFonts w:ascii="Arial" w:cs="Arial" w:eastAsia="Arial" w:hAnsi="Arial"/>
          <w:b w:val="1"/>
          <w:bCs w:val="1"/>
        </w:rPr>
      </w:pPr>
      <w:hyperlink w:anchor="_rcutj3btsqe9">
        <w:r w:rsidDel="00000000" w:rsidR="00000000" w:rsidRPr="00000000">
          <w:rPr>
            <w:rFonts w:ascii="Times New Roman" w:cs="Times New Roman" w:eastAsia="Times New Roman" w:hAnsi="Times New Roman"/>
            <w:b w:val="1"/>
            <w:bCs w:val="1"/>
            <w:sz w:val="24"/>
            <w:szCs w:val="24"/>
            <w:rtl w:val="0"/>
          </w:rPr>
          <w:t xml:space="preserve">2. VIOLÊNCIA SEXUAL NO CONTEXTO INTRAFAMILIAR: UM SUBTIPO DE VIOLÊNCIA, UM FENÔMENO ESTRUTURAL</w:t>
          <w:tab/>
          <w:t xml:space="preserve">16</w:t>
        </w:r>
      </w:hyperlink>
      <w:r w:rsidDel="00000000" w:rsidR="00000000" w:rsidRPr="00000000">
        <w:rPr>
          <w:rtl w:val="0"/>
        </w:rPr>
      </w:r>
    </w:p>
    <w:p w:rsidR="00000000" w:rsidDel="00000000" w:rsidP="00000000" w:rsidRDefault="00000000" w:rsidRPr="00000000" w14:paraId="000000F1">
      <w:pPr>
        <w:widowControl w:val="0"/>
        <w:tabs>
          <w:tab w:val="right" w:leader="dot" w:pos="12000"/>
        </w:tabs>
        <w:spacing w:after="0" w:before="60" w:line="360" w:lineRule="auto"/>
        <w:jc w:val="both"/>
        <w:rPr>
          <w:rFonts w:ascii="Arial" w:cs="Arial" w:eastAsia="Arial" w:hAnsi="Arial"/>
          <w:b w:val="1"/>
          <w:bCs w:val="1"/>
        </w:rPr>
      </w:pPr>
      <w:hyperlink w:anchor="_jzjbawlwrpi">
        <w:r w:rsidDel="00000000" w:rsidR="00000000" w:rsidRPr="00000000">
          <w:rPr>
            <w:rFonts w:ascii="Times New Roman" w:cs="Times New Roman" w:eastAsia="Times New Roman" w:hAnsi="Times New Roman"/>
            <w:b w:val="1"/>
            <w:bCs w:val="1"/>
            <w:sz w:val="24"/>
            <w:szCs w:val="24"/>
            <w:rtl w:val="0"/>
          </w:rPr>
          <w:t xml:space="preserve">3. ENGENDRAMENTO DA VIOLAÇÃO: A PERSUASÃO DA CRIANÇA E DO ADOLESCENTE</w:t>
          <w:tab/>
          <w:t xml:space="preserve">19</w:t>
        </w:r>
      </w:hyperlink>
      <w:r w:rsidDel="00000000" w:rsidR="00000000" w:rsidRPr="00000000">
        <w:rPr>
          <w:rtl w:val="0"/>
        </w:rPr>
      </w:r>
    </w:p>
    <w:p w:rsidR="00000000" w:rsidDel="00000000" w:rsidP="00000000" w:rsidRDefault="00000000" w:rsidRPr="00000000" w14:paraId="000000F2">
      <w:pPr>
        <w:widowControl w:val="0"/>
        <w:tabs>
          <w:tab w:val="right" w:leader="dot" w:pos="12000"/>
        </w:tabs>
        <w:spacing w:after="0" w:before="60" w:line="360" w:lineRule="auto"/>
        <w:jc w:val="both"/>
        <w:rPr>
          <w:rFonts w:ascii="Arial" w:cs="Arial" w:eastAsia="Arial" w:hAnsi="Arial"/>
          <w:b w:val="1"/>
          <w:bCs w:val="1"/>
        </w:rPr>
      </w:pPr>
      <w:hyperlink w:anchor="_x6degso9tnhd">
        <w:r w:rsidDel="00000000" w:rsidR="00000000" w:rsidRPr="00000000">
          <w:rPr>
            <w:rFonts w:ascii="Times New Roman" w:cs="Times New Roman" w:eastAsia="Times New Roman" w:hAnsi="Times New Roman"/>
            <w:b w:val="1"/>
            <w:bCs w:val="1"/>
            <w:sz w:val="24"/>
            <w:szCs w:val="24"/>
            <w:rtl w:val="0"/>
          </w:rPr>
          <w:t xml:space="preserve">4. PANORAMA DA VIOLÊNCIA CONTRA CRIANÇAS NO BRASIL E NO RIO DE JANEIRO</w:t>
          <w:tab/>
          <w:t xml:space="preserve">22</w:t>
        </w:r>
      </w:hyperlink>
      <w:r w:rsidDel="00000000" w:rsidR="00000000" w:rsidRPr="00000000">
        <w:rPr>
          <w:rtl w:val="0"/>
        </w:rPr>
      </w:r>
    </w:p>
    <w:p w:rsidR="00000000" w:rsidDel="00000000" w:rsidP="00000000" w:rsidRDefault="00000000" w:rsidRPr="00000000" w14:paraId="000000F3">
      <w:pPr>
        <w:widowControl w:val="0"/>
        <w:tabs>
          <w:tab w:val="right" w:leader="dot" w:pos="12000"/>
        </w:tabs>
        <w:spacing w:after="0" w:before="60" w:line="360" w:lineRule="auto"/>
        <w:jc w:val="both"/>
        <w:rPr>
          <w:rFonts w:ascii="Arial" w:cs="Arial" w:eastAsia="Arial" w:hAnsi="Arial"/>
          <w:b w:val="1"/>
          <w:bCs w:val="1"/>
        </w:rPr>
      </w:pPr>
      <w:hyperlink w:anchor="_659p88mxrijk">
        <w:r w:rsidDel="00000000" w:rsidR="00000000" w:rsidRPr="00000000">
          <w:rPr>
            <w:rFonts w:ascii="Times New Roman" w:cs="Times New Roman" w:eastAsia="Times New Roman" w:hAnsi="Times New Roman"/>
            <w:b w:val="1"/>
            <w:bCs w:val="1"/>
            <w:sz w:val="24"/>
            <w:szCs w:val="24"/>
            <w:rtl w:val="0"/>
          </w:rPr>
          <w:t xml:space="preserve">5. VIOLÊNCIA SEXUAL INTRAFAMILIAR: A RESPONSABILIZAÇÃO DO ESTADO E DA SOCIEDADE CIVIL</w:t>
          <w:tab/>
          <w:t xml:space="preserve">25</w:t>
        </w:r>
      </w:hyperlink>
      <w:r w:rsidDel="00000000" w:rsidR="00000000" w:rsidRPr="00000000">
        <w:rPr>
          <w:rtl w:val="0"/>
        </w:rPr>
      </w:r>
    </w:p>
    <w:p w:rsidR="00000000" w:rsidDel="00000000" w:rsidP="00000000" w:rsidRDefault="00000000" w:rsidRPr="00000000" w14:paraId="000000F4">
      <w:pPr>
        <w:widowControl w:val="0"/>
        <w:tabs>
          <w:tab w:val="right" w:leader="dot" w:pos="12000"/>
        </w:tabs>
        <w:spacing w:after="0" w:before="60" w:line="360" w:lineRule="auto"/>
        <w:jc w:val="both"/>
        <w:rPr>
          <w:rFonts w:ascii="Arial" w:cs="Arial" w:eastAsia="Arial" w:hAnsi="Arial"/>
          <w:b w:val="1"/>
          <w:bCs w:val="1"/>
        </w:rPr>
      </w:pPr>
      <w:hyperlink w:anchor="_2pugts69pma5">
        <w:r w:rsidDel="00000000" w:rsidR="00000000" w:rsidRPr="00000000">
          <w:rPr>
            <w:rFonts w:ascii="Times New Roman" w:cs="Times New Roman" w:eastAsia="Times New Roman" w:hAnsi="Times New Roman"/>
            <w:b w:val="1"/>
            <w:bCs w:val="1"/>
            <w:sz w:val="24"/>
            <w:szCs w:val="24"/>
            <w:rtl w:val="0"/>
          </w:rPr>
          <w:t xml:space="preserve">CONSIDERAÇÕES FINAIS</w:t>
          <w:tab/>
          <w:t xml:space="preserve">29</w:t>
        </w:r>
      </w:hyperlink>
      <w:r w:rsidDel="00000000" w:rsidR="00000000" w:rsidRPr="00000000">
        <w:rPr>
          <w:rtl w:val="0"/>
        </w:rPr>
      </w:r>
    </w:p>
    <w:p w:rsidR="00000000" w:rsidDel="00000000" w:rsidP="00000000" w:rsidRDefault="00000000" w:rsidRPr="00000000" w14:paraId="000000F5">
      <w:pPr>
        <w:widowControl w:val="0"/>
        <w:tabs>
          <w:tab w:val="right" w:leader="dot" w:pos="12000"/>
        </w:tabs>
        <w:spacing w:after="0" w:before="60" w:line="360" w:lineRule="auto"/>
        <w:jc w:val="both"/>
        <w:rPr>
          <w:rFonts w:ascii="Times New Roman" w:cs="Times New Roman" w:eastAsia="Times New Roman" w:hAnsi="Times New Roman"/>
          <w:sz w:val="24"/>
          <w:szCs w:val="24"/>
        </w:rPr>
      </w:pPr>
      <w:hyperlink w:anchor="_x5zpbdpmnhfd">
        <w:r w:rsidDel="00000000" w:rsidR="00000000" w:rsidRPr="00000000">
          <w:rPr>
            <w:rFonts w:ascii="Times New Roman" w:cs="Times New Roman" w:eastAsia="Times New Roman" w:hAnsi="Times New Roman"/>
            <w:b w:val="1"/>
            <w:bCs w:val="1"/>
            <w:sz w:val="24"/>
            <w:szCs w:val="24"/>
            <w:rtl w:val="0"/>
          </w:rPr>
          <w:t xml:space="preserve">REFERÊNCIAS BIBLIOGRÁFICAS</w:t>
          <w:tab/>
          <w:t xml:space="preserve">32</w:t>
        </w:r>
      </w:hyperlink>
      <w:r w:rsidDel="00000000" w:rsidR="00000000" w:rsidRPr="00000000">
        <w:rPr>
          <w:rtl w:val="0"/>
        </w:rPr>
      </w:r>
    </w:p>
    <w:p w:rsidR="00000000" w:rsidDel="00000000" w:rsidP="00000000" w:rsidRDefault="00000000" w:rsidRPr="00000000" w14:paraId="000000F6">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spacing w:after="0" w:line="360" w:lineRule="auto"/>
        <w:jc w:val="both"/>
        <w:rPr>
          <w:rFonts w:ascii="Times New Roman" w:cs="Times New Roman" w:eastAsia="Times New Roman" w:hAnsi="Times New Roman"/>
          <w:sz w:val="24"/>
          <w:szCs w:val="24"/>
        </w:rPr>
        <w:sectPr>
          <w:headerReference r:id="rId14" w:type="default"/>
          <w:type w:val="nextPage"/>
          <w:pgSz w:h="16838" w:w="11906" w:orient="portrait"/>
          <w:pgMar w:bottom="1133.8582677165355" w:top="1700.7874015748032" w:left="1700.7874015748032" w:right="1133.8582677165355" w:header="709" w:footer="709"/>
          <w:titlePg w:val="1"/>
        </w:sectPr>
      </w:pPr>
      <w:r w:rsidDel="00000000" w:rsidR="00000000" w:rsidRPr="00000000">
        <w:rPr>
          <w:rtl w:val="0"/>
        </w:rPr>
      </w:r>
    </w:p>
    <w:p w:rsidR="00000000" w:rsidDel="00000000" w:rsidP="00000000" w:rsidRDefault="00000000" w:rsidRPr="00000000" w14:paraId="00000102">
      <w:pPr>
        <w:pStyle w:val="Heading1"/>
        <w:rPr/>
      </w:pPr>
      <w:bookmarkStart w:colFirst="0" w:colLast="0" w:name="_w4ws2ww25yio" w:id="1"/>
      <w:bookmarkEnd w:id="1"/>
      <w:r w:rsidDel="00000000" w:rsidR="00000000" w:rsidRPr="00000000">
        <w:rPr>
          <w:rtl w:val="0"/>
        </w:rPr>
        <w:t xml:space="preserve">INTRODUÇÃO</w:t>
      </w:r>
    </w:p>
    <w:p w:rsidR="00000000" w:rsidDel="00000000" w:rsidP="00000000" w:rsidRDefault="00000000" w:rsidRPr="00000000" w14:paraId="00000103">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violência sexual intrafamiliar contra as crianças e os adolescentes é uma grave violação dos direitos humanos que persiste como uma problemática social complexa. Esta forma de agressão, especialmente quando ocorre na família, uma instância responsável pela proteção e zelo do pleno desenvolvimento, tem impactos profundos e duradouros na vida das vítimas, ocasionando danos físicos, psicológicos e sociais, afetando o crescimento sadio do indivíduo, principalmente se ocorrida entre a infância e a adolescência. </w:t>
      </w:r>
    </w:p>
    <w:p w:rsidR="00000000" w:rsidDel="00000000" w:rsidP="00000000" w:rsidRDefault="00000000" w:rsidRPr="00000000" w14:paraId="00000104">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interesse por discutir esta temática tão incômoda para muitos se deu por uma trajetória pessoal marcada pela violação sexual longa promovida por uma pessoa a quem chamei de “pai” na falta de uma figura paterna presente, que perdurou dos três aos quatorze anos de idade, totalizando onze anos de violações num espaço que deveria ser seguro e por uma pessoa que deveria dar proteção e zelar pelo pleno desenvolvimento. Por isso - e devido também à trajetória acadêmica com discussões em salas de aula e trabalhos que permitiram a aproximação com a categoria profissional do Serviço Social, em conjunto com a experiência enquanto estagiária da Equipe Técnica Interdisciplinar Criminal (ETICrim) da Comarca de Itaguaí - pude ressignificar esse trauma e entender, a partir de um olhar crítico e sensível, que é possível intervir nessa problemática. Desse modo, este trabalho é apenas o começo. </w:t>
      </w:r>
    </w:p>
    <w:p w:rsidR="00000000" w:rsidDel="00000000" w:rsidP="00000000" w:rsidRDefault="00000000" w:rsidRPr="00000000" w14:paraId="00000105">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trabalho tem por objetivo geral a compreensão do encadeamento que circunda o fenômeno da violência sexual contra crianças e adolescentes no contexto intrafamiliar – local de perpetuação de violências muitas vezes ocultadas ou negligenciadas; bem como os mecanismos de prevenção, responsabilização e proteção das vítimas. De modo específico, objetiva investigar as relações de poder e desigualdades de gênero, idade, classe social e etnia presentes no contexto familiar que favorecem a ocorrência do abuso sexual; compreender a dinâmica do abuso sexual intrafamiliar e os impactos a longo prazo sobre as vítimas; analisar o papel do sistema legal e da sociedade na prevenção, no acolhimento e na responsabilização; e examinar dados estatísticos nacionais e regionais sobre violência sexual contra crianças e adolescentes. </w:t>
      </w:r>
    </w:p>
    <w:p w:rsidR="00000000" w:rsidDel="00000000" w:rsidP="00000000" w:rsidRDefault="00000000" w:rsidRPr="00000000" w14:paraId="00000106">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tanto, esta pesquisa emprega uma abordagem qualitativa (Minayo, 2001), de caráter bibliográfico e documental (Gil, 2008), utilizando de um breve levantamento bibliográfico que contou com artigos, livros e documentos oficiais, como leis e resoluções, norteado pelos recortes predominantes “violência sexual contra crianças e adolescentes” e “violência intrafamiliar”, buscando contribuir para o debate acerca do atendimento às vítimas de violência sexual, enfatizando a importância de tratá-las como sujeitos de direitos e opondo-se à impunidade dos agressores, contudo sem esgotar as possibilidades de debate sobre o tema - uma pesquisa aberta à possibilidades futuras de discussão e aprofundamento.</w:t>
      </w:r>
    </w:p>
    <w:p w:rsidR="00000000" w:rsidDel="00000000" w:rsidP="00000000" w:rsidRDefault="00000000" w:rsidRPr="00000000" w14:paraId="00000107">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primeira parte deste trabalho discute a violência sexual intrafamiliar contra crianças e adolescentes a partir das relações de poder estruturadas pelo patriarcado, destacando, a partir de autoras como Saffioti (diversos) e Zanello (2022), como a dominação masculina e a desigualdade de gênero sustentam práticas de violência; evidencia a permanência do conservadorismo que reforça papéis tradicionais, mantendo mulheres e jovens em posições de subordinação e de desigualdades, que são atravessadas por categorias essenciais para além do gênero, como classe, etnia e idade. Nesse contexto, esta parte busca contextualizar o local da família, desmistificando a definição de segurança que envolve este núcleo. </w:t>
      </w:r>
    </w:p>
    <w:p w:rsidR="00000000" w:rsidDel="00000000" w:rsidP="00000000" w:rsidRDefault="00000000" w:rsidRPr="00000000" w14:paraId="00000108">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segunda parte aborda a violência como fenômeno estrutural e desigual, destacando definições de violência da Organização Mundial da Saúde - OMS e do Ministério da Saúde - MS brasileiro de forma ampliada. Enfatiza que a violência sexual - foco da análise - ocorre majoritariamente no ambiente doméstico, utilizando de dados publicados no Atlas da Violência e no Anuário Brasileiro de Segurança Pública. Ademais, apresenta também o conceito de abuso sexual para Gabel (1997) e adiciona a discussão anterior das desigualdades de gênero e das relações de poder opressivas. </w:t>
      </w:r>
    </w:p>
    <w:p w:rsidR="00000000" w:rsidDel="00000000" w:rsidP="00000000" w:rsidRDefault="00000000" w:rsidRPr="00000000" w14:paraId="00000109">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terceira parte explica a dinâmica da violência sexual intrafamiliar a partir da enumeração das fases descritas pela autora Medeiros (2013), complementando a discussão com apontamentos de estudos realizados por Saffioti (2015) e apresentando o local da vítima enquanto sujeito em formação na descoberta da violência pela qual passa/passou. </w:t>
      </w:r>
    </w:p>
    <w:p w:rsidR="00000000" w:rsidDel="00000000" w:rsidP="00000000" w:rsidRDefault="00000000" w:rsidRPr="00000000" w14:paraId="0000010A">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quarta parte analisa o cenário da violência sexual contra crianças e adolescentes no estado do Rio de Janeiro, contextualizando-o a partir de dados recentes do Fórum Brasileiro de Segurança Pública - FBSP, que nos mostra um panorama a níveis nacional e estadual, possibilitando a delimitação de particularidades do contexto sexual violento. Além disso, retrata as implicações da violência na vida da vítima e apresenta brevemente os direitos legais previstos em lei. </w:t>
      </w:r>
    </w:p>
    <w:p w:rsidR="00000000" w:rsidDel="00000000" w:rsidP="00000000" w:rsidRDefault="00000000" w:rsidRPr="00000000" w14:paraId="0000010B">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quinta, e última, parte trata da responsabilização pelo enfrentamento à questão, citando os principais atores envolvidos nesta trama: o Estado e a sociedade civil, ressaltando que se trata de uma violência complexa, historicamente enraizada e atravessada por múltiplos atores, o que impossibilita atribuir culpa a um único agente. A abordagem fundamenta-se no arcabouço legal brasileiro, especialmente na Constituição Federal – CF e no Estatuto da Criança e do Adolescente - ECA, que estabelecem a proteção integral como dever da família, sociedade e Estado, apontando o distanciamento entre legislação e realidade. Diferencia-se ainda os dispositivos do Código Penal – CP que tratam do estupro e do estupro de vulnerável e, ainda neste espaço, ressalta-se o papel ético e técnico das profissionais do Serviço Social no atendimento à essa demanda.</w:t>
      </w:r>
    </w:p>
    <w:p w:rsidR="00000000" w:rsidDel="00000000" w:rsidP="00000000" w:rsidRDefault="00000000" w:rsidRPr="00000000" w14:paraId="0000010C">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urdpgwpmbd4b" w:id="2"/>
      <w:bookmarkEnd w:id="2"/>
      <w:r w:rsidDel="00000000" w:rsidR="00000000" w:rsidRPr="00000000">
        <w:rPr>
          <w:rtl w:val="0"/>
        </w:rPr>
      </w:r>
    </w:p>
    <w:p w:rsidR="00000000" w:rsidDel="00000000" w:rsidP="00000000" w:rsidRDefault="00000000" w:rsidRPr="00000000" w14:paraId="0000010D">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36n2o35lkn17" w:id="3"/>
      <w:bookmarkEnd w:id="3"/>
      <w:r w:rsidDel="00000000" w:rsidR="00000000" w:rsidRPr="00000000">
        <w:rPr>
          <w:rtl w:val="0"/>
        </w:rPr>
      </w:r>
    </w:p>
    <w:p w:rsidR="00000000" w:rsidDel="00000000" w:rsidP="00000000" w:rsidRDefault="00000000" w:rsidRPr="00000000" w14:paraId="0000010E">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m24g41vuyz64" w:id="4"/>
      <w:bookmarkEnd w:id="4"/>
      <w:r w:rsidDel="00000000" w:rsidR="00000000" w:rsidRPr="00000000">
        <w:rPr>
          <w:rtl w:val="0"/>
        </w:rPr>
      </w:r>
    </w:p>
    <w:p w:rsidR="00000000" w:rsidDel="00000000" w:rsidP="00000000" w:rsidRDefault="00000000" w:rsidRPr="00000000" w14:paraId="0000010F">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flpkxm72g9jh" w:id="5"/>
      <w:bookmarkEnd w:id="5"/>
      <w:r w:rsidDel="00000000" w:rsidR="00000000" w:rsidRPr="00000000">
        <w:rPr>
          <w:rtl w:val="0"/>
        </w:rPr>
      </w:r>
    </w:p>
    <w:p w:rsidR="00000000" w:rsidDel="00000000" w:rsidP="00000000" w:rsidRDefault="00000000" w:rsidRPr="00000000" w14:paraId="00000110">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dwxzbq8it2so" w:id="6"/>
      <w:bookmarkEnd w:id="6"/>
      <w:r w:rsidDel="00000000" w:rsidR="00000000" w:rsidRPr="00000000">
        <w:rPr>
          <w:rtl w:val="0"/>
        </w:rPr>
      </w:r>
    </w:p>
    <w:p w:rsidR="00000000" w:rsidDel="00000000" w:rsidP="00000000" w:rsidRDefault="00000000" w:rsidRPr="00000000" w14:paraId="00000111">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z8v8gn1le1ul" w:id="7"/>
      <w:bookmarkEnd w:id="7"/>
      <w:r w:rsidDel="00000000" w:rsidR="00000000" w:rsidRPr="00000000">
        <w:rPr>
          <w:rtl w:val="0"/>
        </w:rPr>
      </w:r>
    </w:p>
    <w:p w:rsidR="00000000" w:rsidDel="00000000" w:rsidP="00000000" w:rsidRDefault="00000000" w:rsidRPr="00000000" w14:paraId="00000112">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yavb5ebh1r41" w:id="8"/>
      <w:bookmarkEnd w:id="8"/>
      <w:r w:rsidDel="00000000" w:rsidR="00000000" w:rsidRPr="00000000">
        <w:rPr>
          <w:rtl w:val="0"/>
        </w:rPr>
      </w:r>
    </w:p>
    <w:p w:rsidR="00000000" w:rsidDel="00000000" w:rsidP="00000000" w:rsidRDefault="00000000" w:rsidRPr="00000000" w14:paraId="00000113">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dz4vqcc2y7v" w:id="9"/>
      <w:bookmarkEnd w:id="9"/>
      <w:r w:rsidDel="00000000" w:rsidR="00000000" w:rsidRPr="00000000">
        <w:rPr>
          <w:rtl w:val="0"/>
        </w:rPr>
      </w:r>
    </w:p>
    <w:p w:rsidR="00000000" w:rsidDel="00000000" w:rsidP="00000000" w:rsidRDefault="00000000" w:rsidRPr="00000000" w14:paraId="00000114">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ynal5fr1peb" w:id="10"/>
      <w:bookmarkEnd w:id="10"/>
      <w:r w:rsidDel="00000000" w:rsidR="00000000" w:rsidRPr="00000000">
        <w:rPr>
          <w:rtl w:val="0"/>
        </w:rPr>
      </w:r>
    </w:p>
    <w:p w:rsidR="00000000" w:rsidDel="00000000" w:rsidP="00000000" w:rsidRDefault="00000000" w:rsidRPr="00000000" w14:paraId="00000115">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7u9zp0w77zie" w:id="11"/>
      <w:bookmarkEnd w:id="11"/>
      <w:r w:rsidDel="00000000" w:rsidR="00000000" w:rsidRPr="00000000">
        <w:rPr>
          <w:rtl w:val="0"/>
        </w:rPr>
      </w:r>
    </w:p>
    <w:p w:rsidR="00000000" w:rsidDel="00000000" w:rsidP="00000000" w:rsidRDefault="00000000" w:rsidRPr="00000000" w14:paraId="00000116">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7k2nwqf4xmtq" w:id="12"/>
      <w:bookmarkEnd w:id="12"/>
      <w:r w:rsidDel="00000000" w:rsidR="00000000" w:rsidRPr="00000000">
        <w:rPr>
          <w:rtl w:val="0"/>
        </w:rPr>
      </w:r>
    </w:p>
    <w:p w:rsidR="00000000" w:rsidDel="00000000" w:rsidP="00000000" w:rsidRDefault="00000000" w:rsidRPr="00000000" w14:paraId="00000117">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cgplbmogdgg7" w:id="13"/>
      <w:bookmarkEnd w:id="13"/>
      <w:r w:rsidDel="00000000" w:rsidR="00000000" w:rsidRPr="00000000">
        <w:rPr>
          <w:rtl w:val="0"/>
        </w:rPr>
      </w:r>
    </w:p>
    <w:p w:rsidR="00000000" w:rsidDel="00000000" w:rsidP="00000000" w:rsidRDefault="00000000" w:rsidRPr="00000000" w14:paraId="00000118">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pjrk2p5l8e0a" w:id="14"/>
      <w:bookmarkEnd w:id="14"/>
      <w:r w:rsidDel="00000000" w:rsidR="00000000" w:rsidRPr="00000000">
        <w:rPr>
          <w:rtl w:val="0"/>
        </w:rPr>
      </w:r>
    </w:p>
    <w:p w:rsidR="00000000" w:rsidDel="00000000" w:rsidP="00000000" w:rsidRDefault="00000000" w:rsidRPr="00000000" w14:paraId="00000119">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nd63uwn3esv9" w:id="15"/>
      <w:bookmarkEnd w:id="15"/>
      <w:r w:rsidDel="00000000" w:rsidR="00000000" w:rsidRPr="00000000">
        <w:rPr>
          <w:rtl w:val="0"/>
        </w:rPr>
      </w:r>
    </w:p>
    <w:p w:rsidR="00000000" w:rsidDel="00000000" w:rsidP="00000000" w:rsidRDefault="00000000" w:rsidRPr="00000000" w14:paraId="0000011A">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er8f9wdw4792" w:id="16"/>
      <w:bookmarkEnd w:id="16"/>
      <w:r w:rsidDel="00000000" w:rsidR="00000000" w:rsidRPr="00000000">
        <w:rPr>
          <w:rtl w:val="0"/>
        </w:rPr>
      </w:r>
    </w:p>
    <w:p w:rsidR="00000000" w:rsidDel="00000000" w:rsidP="00000000" w:rsidRDefault="00000000" w:rsidRPr="00000000" w14:paraId="0000011B">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left"/>
        <w:rPr/>
      </w:pPr>
      <w:bookmarkStart w:colFirst="0" w:colLast="0" w:name="_lvv3oveuraui" w:id="17"/>
      <w:bookmarkEnd w:id="17"/>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nnlcxzt4ebie" w:id="18"/>
      <w:bookmarkEnd w:id="18"/>
      <w:r w:rsidDel="00000000" w:rsidR="00000000" w:rsidRPr="00000000">
        <w:rPr>
          <w:rtl w:val="0"/>
        </w:rPr>
      </w:r>
    </w:p>
    <w:p w:rsidR="00000000" w:rsidDel="00000000" w:rsidP="00000000" w:rsidRDefault="00000000" w:rsidRPr="00000000" w14:paraId="0000011E">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left"/>
        <w:rPr/>
      </w:pPr>
      <w:bookmarkStart w:colFirst="0" w:colLast="0" w:name="_341koxk4e8z0" w:id="19"/>
      <w:bookmarkEnd w:id="19"/>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bwg03gpqgnpz" w:id="20"/>
      <w:bookmarkEnd w:id="20"/>
      <w:r w:rsidDel="00000000" w:rsidR="00000000" w:rsidRPr="00000000">
        <w:rPr>
          <w:rtl w:val="0"/>
        </w:rPr>
        <w:t xml:space="preserve">1. PATRIARCADO: DISCUSSÃO SOBRE GÊNERO E RELAÇÕES DE PODER OPRESSIVAS </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left="36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darmos início a discussão do tema central deste trabalho - abuso sexual intrafamiliar contra crianças e adolescentes -, é fundamental considerar as relações de poder existentes em diferentes formas de controle, dentre elas o gênero, uma vez que a forma de violação aqui discutida é baseada na dominação do mais fraco pelo mais forte dentro de um sistema patriarcal e misógino desde o seu cerne.</w:t>
      </w:r>
    </w:p>
    <w:p w:rsidR="00000000" w:rsidDel="00000000" w:rsidP="00000000" w:rsidRDefault="00000000" w:rsidRPr="00000000" w14:paraId="00000124">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left="36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categoria gênero, em sua complexa conceituação, pode ser entendida como algo além da fisicalidade e das relações entre os sexos feminino e masculino no sentido biológico, “(...) sendo determinada também, numa dinâmica temporal, por elementos que são, ao mesmo tempo, significativos no que se refere às relações entre sociabilidade e cultura” (Santos e Oliveira, 2010).</w:t>
      </w:r>
    </w:p>
    <w:p w:rsidR="00000000" w:rsidDel="00000000" w:rsidP="00000000" w:rsidRDefault="00000000" w:rsidRPr="00000000" w14:paraId="00000125">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left="36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Pensar a discussão dessa categoria é reconhecer a emergência de diversas formas de identidades de gênero a partir do final do século XX</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mas também é entender que ainda se mantém forte o conservadorismo acerca da dualidade de gênero - masculino x feminino ou binarismo -, ligado fortemente aos ideais religiosos. Ser mulher determina a sua “fraqueza” mesmo antes do nascimento, implicando em restrição a papéis sociais de subalternidade e servidão pré-dispostos, distintos daqueles atribuídos ao homem – o “macho”. Há uma estereotipização da identidade social (Saffioti, 1987) entranhada nesta cultura machista, onde cotidianamente é reforçada a inferioridade feminina - “(...) no Brasil, maioria populacional, minoria social” (Curi, Oliveira e Fiaux, 2022)</w:t>
      </w:r>
      <w:r w:rsidDel="00000000" w:rsidR="00000000" w:rsidRPr="00000000">
        <w:rPr>
          <w:rFonts w:ascii="Times New Roman" w:cs="Times New Roman" w:eastAsia="Times New Roman" w:hAnsi="Times New Roman"/>
          <w:sz w:val="26"/>
          <w:szCs w:val="26"/>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 e o sexismo - “e o sexismo não é somente uma ideologia, reflete, também, uma estrutura de poder, cuja distribuição é muito desigual, em detrimento das mulheres” (Saffioti, 2015, p. 37) -. Trata-se, portanto, não só de diferenças sexuais, mas também de ideologia. </w:t>
      </w:r>
    </w:p>
    <w:p w:rsidR="00000000" w:rsidDel="00000000" w:rsidP="00000000" w:rsidRDefault="00000000" w:rsidRPr="00000000" w14:paraId="00000126">
      <w:pPr>
        <w:pBdr>
          <w:top w:color="auto" w:space="0" w:sz="0" w:val="none"/>
          <w:left w:color="auto" w:space="0" w:sz="0" w:val="none"/>
          <w:bottom w:color="auto" w:space="0" w:sz="0" w:val="none"/>
          <w:right w:color="auto" w:space="0" w:sz="0" w:val="none"/>
          <w:between w:color="auto" w:space="0" w:sz="0" w:val="none"/>
        </w:pBdr>
        <w:shd w:fill="ffffff" w:val="clear"/>
        <w:spacing w:after="30" w:before="30" w:line="240" w:lineRule="auto"/>
        <w:ind w:left="226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diferença sexual seria assim algo dado, </w:t>
      </w:r>
      <w:r w:rsidDel="00000000" w:rsidR="00000000" w:rsidRPr="00000000">
        <w:rPr>
          <w:rFonts w:ascii="Times New Roman" w:cs="Times New Roman" w:eastAsia="Times New Roman" w:hAnsi="Times New Roman"/>
          <w:i w:val="1"/>
          <w:iCs w:val="1"/>
          <w:sz w:val="20"/>
          <w:szCs w:val="20"/>
          <w:rtl w:val="0"/>
        </w:rPr>
        <w:t xml:space="preserve">a priori</w:t>
      </w:r>
      <w:r w:rsidDel="00000000" w:rsidR="00000000" w:rsidRPr="00000000">
        <w:rPr>
          <w:rFonts w:ascii="Times New Roman" w:cs="Times New Roman" w:eastAsia="Times New Roman" w:hAnsi="Times New Roman"/>
          <w:sz w:val="20"/>
          <w:szCs w:val="20"/>
          <w:rtl w:val="0"/>
        </w:rPr>
        <w:t xml:space="preserve">, e sobre a qual a cultura moldaria comportamentos, crenças e hábitos. Nesse momento, ainda se mantinha uma representação singular de “homem” e de “mulher”. Essas representações ligavam as mulheres às ideias de bondade, cuidado, maternidade, domesticidade, e, por outro lado, homens à ideia de trabalho, produtividade, embrutecimento, frieza emocional. Acreditava-se que os papéis de gênero seriam opostos e complementares (Zanello, 2022, p. 14). </w:t>
      </w:r>
    </w:p>
    <w:p w:rsidR="00000000" w:rsidDel="00000000" w:rsidP="00000000" w:rsidRDefault="00000000" w:rsidRPr="00000000" w14:paraId="00000127">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left="36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Aqui, o “ser” feminino ou masculino em análise vai além do sentido biológico e entra diretamente no âmbito das relações sociais de poder, onde há o que Saffioti (1995) chama de sistema de dominação-exploração. Dentro desta ideia, Bourdieu (2012) debate a “dominação masculina” como um tipo de poder que se mantém não apenas por imposições explícitas, mas que está profundamente intrínseco às estruturas sociais e aos modos de pensar. Essa dominação funciona como uma violência simbólica: um conjunto de expectativas, categorias e práticas que fazem com que a superioridade masculina pareça natural, legítima, de maneira invisível e naturalizada. Assim, homens e mulheres acabam reproduzindo, muitas vezes sem perceber, um sistema que coloca o masculino como medida universal e o feminino como secundário, reforçando desigualdades que parecem espontâneas, mas que são socialmente construídas.</w:t>
      </w:r>
    </w:p>
    <w:p w:rsidR="00000000" w:rsidDel="00000000" w:rsidP="00000000" w:rsidRDefault="00000000" w:rsidRPr="00000000" w14:paraId="00000128">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left="36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relação constitui um sistema que é construído e reconstruído cotidianamente, de acordo com as conjunturas sócio-históricas que se apresentam, especialmente quando este sistema está circunscrito à instituição “família”</w:t>
      </w:r>
      <w:r w:rsidDel="00000000" w:rsidR="00000000" w:rsidRPr="00000000">
        <w:rPr>
          <w:rFonts w:ascii="Times New Roman" w:cs="Times New Roman" w:eastAsia="Times New Roman" w:hAnsi="Times New Roman"/>
          <w:sz w:val="26"/>
          <w:szCs w:val="26"/>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 Neste espaço delimitador, a figura materna - apesar de subalternizada em seu papel social - possui função sociopolítica importante, em que exerce influência sobre a personalidade de suas proles, sendo considerada assim um agente de ideologia, onde é reforçado - mesmo que não intencionalmente - o binarismo em questão.  </w:t>
      </w:r>
    </w:p>
    <w:p w:rsidR="00000000" w:rsidDel="00000000" w:rsidP="00000000" w:rsidRDefault="00000000" w:rsidRPr="00000000" w14:paraId="00000129">
      <w:pPr>
        <w:pBdr>
          <w:top w:color="auto" w:space="0" w:sz="0" w:val="none"/>
          <w:left w:color="auto" w:space="0" w:sz="0" w:val="none"/>
          <w:bottom w:color="auto" w:space="0" w:sz="0" w:val="none"/>
          <w:right w:color="auto" w:space="0" w:sz="0" w:val="none"/>
          <w:between w:color="auto" w:space="0" w:sz="0" w:val="none"/>
        </w:pBdr>
        <w:shd w:fill="ffffff" w:val="clear"/>
        <w:spacing w:after="30" w:before="30" w:line="240" w:lineRule="auto"/>
        <w:ind w:left="226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É importante destacar que as negociações não se fazem entre sujeitos iguais, uma vez que a desigualdade grassa tanto no interior da família, como na relação dela com outras esferas da sociedade. Estas desigualdades estão vinculadas a três eixos fundamentais que são: classe, gênero e etnia (Mioto, 2010, p. 168). </w:t>
      </w:r>
    </w:p>
    <w:p w:rsidR="00000000" w:rsidDel="00000000" w:rsidP="00000000" w:rsidRDefault="00000000" w:rsidRPr="00000000" w14:paraId="0000012A">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left="36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além do que Mioto afirma em sua obra, Saffioti (1995) também entende que as relações desiguais são atravessadas por categorias além de gênero - sendo elas a classe e etnia/raça -, contudo ela acrescenta também o fator idade, no que aponta serem relações intergeracionais (relações estas que, conforme a própria autora, são de natureza de dominação transitória, pois ao avançar da idade este poder tende a diminuir). </w:t>
      </w:r>
    </w:p>
    <w:p w:rsidR="00000000" w:rsidDel="00000000" w:rsidP="00000000" w:rsidRDefault="00000000" w:rsidRPr="00000000" w14:paraId="0000012B">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left="36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Estas relações intergeracionais ganham especial relevância no ambiente familiar, onde a criança e o adolescente, seja menino ou menina, tem o primeiro contato com a hierarquia patriarcal – o homem mais velho da casa, geralmente a figura paterna, a depender da configuração familiar</w:t>
      </w:r>
      <w:r w:rsidDel="00000000" w:rsidR="00000000" w:rsidRPr="00000000">
        <w:rPr>
          <w:rFonts w:ascii="Times New Roman" w:cs="Times New Roman" w:eastAsia="Times New Roman" w:hAnsi="Times New Roman"/>
          <w:sz w:val="26"/>
          <w:szCs w:val="26"/>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 é aquele que manda na casa e em seus integrantes -.  </w:t>
      </w:r>
    </w:p>
    <w:p w:rsidR="00000000" w:rsidDel="00000000" w:rsidP="00000000" w:rsidRDefault="00000000" w:rsidRPr="00000000" w14:paraId="0000012C">
      <w:pPr>
        <w:pBdr>
          <w:top w:color="auto" w:space="0" w:sz="0" w:val="none"/>
          <w:left w:color="auto" w:space="0" w:sz="0" w:val="none"/>
          <w:bottom w:color="auto" w:space="0" w:sz="0" w:val="none"/>
          <w:right w:color="auto" w:space="0" w:sz="0" w:val="none"/>
          <w:between w:color="auto" w:space="0" w:sz="0" w:val="none"/>
        </w:pBdr>
        <w:shd w:fill="ffffff" w:val="clear"/>
        <w:spacing w:after="30" w:before="30" w:line="240" w:lineRule="auto"/>
        <w:ind w:left="226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Cabe destacar que o patriarcado não designa o poder do pai, mas o poder dos homens, ou do masculino, enquanto categoria social. O patriarcado é uma forma de organização social na qual as relações são regidas por dois princípios básicos: 1) as mulheres estão hierarquicamente subordinadas aos homens e, 2) os jovens estão hierarquicamente subordinados aos homens mais velhos (Narvaz e Koller, 2006). </w:t>
      </w:r>
    </w:p>
    <w:p w:rsidR="00000000" w:rsidDel="00000000" w:rsidP="00000000" w:rsidRDefault="00000000" w:rsidRPr="00000000" w14:paraId="0000012D">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left="36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Neste sentido, podemos dizer que as relações de poder opressivas aqui discutidas passam pela perspectiva da interseccionalidade, elaborada pela autora Crenshaw (2002)</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Fonts w:ascii="Times New Roman" w:cs="Times New Roman" w:eastAsia="Times New Roman" w:hAnsi="Times New Roman"/>
          <w:sz w:val="24"/>
          <w:szCs w:val="24"/>
          <w:rtl w:val="0"/>
        </w:rPr>
        <w:t xml:space="preserve">, que a define como</w:t>
      </w:r>
    </w:p>
    <w:p w:rsidR="00000000" w:rsidDel="00000000" w:rsidP="00000000" w:rsidRDefault="00000000" w:rsidRPr="00000000" w14:paraId="0000012E">
      <w:pPr>
        <w:pBdr>
          <w:top w:color="auto" w:space="0" w:sz="0" w:val="none"/>
          <w:left w:color="auto" w:space="0" w:sz="0" w:val="none"/>
          <w:bottom w:color="auto" w:space="0" w:sz="0" w:val="none"/>
          <w:right w:color="auto" w:space="0" w:sz="0" w:val="none"/>
          <w:between w:color="auto" w:space="0" w:sz="0" w:val="none"/>
        </w:pBdr>
        <w:shd w:fill="ffffff" w:val="clear"/>
        <w:spacing w:after="30" w:before="30" w:line="240" w:lineRule="auto"/>
        <w:ind w:left="2267.7165354330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 uma conceituação do problema que busca capturar as consequências estruturais e dinâmicas da interação entre dois ou mais eixos da subordinação. Ela trata especificamente da forma pela qual o racismo, o patriarcalismo, a opressão de classe e outros sistemas discriminatórios criam desigualdades básicas que estruturam as posições relativas de mulheres, raças, etnias, classes e outras. Além disso, a interseccionalidade trata da forma como ações e políticas específicas geram opressões que fluem ao longo de tais eixos, constituindo aspectos dinâmicos ou ativos do desempoderamento (CRENSHAW, 2022, p.177).</w:t>
      </w:r>
      <w:r w:rsidDel="00000000" w:rsidR="00000000" w:rsidRPr="00000000">
        <w:rPr>
          <w:rtl w:val="0"/>
        </w:rPr>
      </w:r>
    </w:p>
    <w:p w:rsidR="00000000" w:rsidDel="00000000" w:rsidP="00000000" w:rsidRDefault="00000000" w:rsidRPr="00000000" w14:paraId="0000012F">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left="36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hierarquização da família é confluente à relação de poder aqui discutida, na qual o mais forte, o mais velho e o homem é quem ditará as relações interpessoais do espaço e as regras de obediência servil aos demais integrantes - que são naturalizadas como se fizessem parte de uma dinâmica familiar saudável, que não pode e não deve ser evitado; logo isso torna a família o espaço velado propício para perpetração e perpetuação de violências - psicológicas, físicas e sexuais - contra os mais vulneráveis: as crianças e os adolescentes. </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rcutj3btsqe9" w:id="21"/>
      <w:bookmarkEnd w:id="21"/>
      <w:r w:rsidDel="00000000" w:rsidR="00000000" w:rsidRPr="00000000">
        <w:rPr>
          <w:rtl w:val="0"/>
        </w:rPr>
        <w:t xml:space="preserve">2. VIOLÊNCIA SEXUAL NO CONTEXTO INTRAFAMILIAR: UM SUBTIPO DE VIOLÊNCIA, UM FENÔMENO ESTRUTURAL</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left="36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mundo é violento em todas as suas formas, pois as condições de vida que se apresentam são desiguais em todas as esferas. Assim, damos início a segunda parte deste trabalho buscando compreender, portanto, a definição sobre o que é violência, segundo o Relatório Mundial Sobre Violência e Saúde da Organização Mundial da Saúde - OMS (Krug </w:t>
      </w:r>
      <w:r w:rsidDel="00000000" w:rsidR="00000000" w:rsidRPr="00000000">
        <w:rPr>
          <w:rFonts w:ascii="Times New Roman" w:cs="Times New Roman" w:eastAsia="Times New Roman" w:hAnsi="Times New Roman"/>
          <w:i w:val="1"/>
          <w:iCs w:val="1"/>
          <w:sz w:val="24"/>
          <w:szCs w:val="24"/>
          <w:rtl w:val="0"/>
        </w:rPr>
        <w:t xml:space="preserve">et al., </w:t>
      </w:r>
      <w:r w:rsidDel="00000000" w:rsidR="00000000" w:rsidRPr="00000000">
        <w:rPr>
          <w:rFonts w:ascii="Times New Roman" w:cs="Times New Roman" w:eastAsia="Times New Roman" w:hAnsi="Times New Roman"/>
          <w:sz w:val="24"/>
          <w:szCs w:val="24"/>
          <w:rtl w:val="0"/>
        </w:rPr>
        <w:t xml:space="preserve">2002, p. 5): </w:t>
      </w:r>
    </w:p>
    <w:p w:rsidR="00000000" w:rsidDel="00000000" w:rsidP="00000000" w:rsidRDefault="00000000" w:rsidRPr="00000000" w14:paraId="00000139">
      <w:pPr>
        <w:pBdr>
          <w:top w:color="auto" w:space="0" w:sz="0" w:val="none"/>
          <w:left w:color="auto" w:space="0" w:sz="0" w:val="none"/>
          <w:bottom w:color="auto" w:space="0" w:sz="0" w:val="none"/>
          <w:right w:color="auto" w:space="0" w:sz="0" w:val="none"/>
          <w:between w:color="auto" w:space="0" w:sz="0" w:val="none"/>
        </w:pBdr>
        <w:shd w:fill="ffffff" w:val="clear"/>
        <w:spacing w:after="30" w:before="30" w:line="240" w:lineRule="auto"/>
        <w:ind w:left="226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 uso intencional da força física ou do poder, real ou em ameaça, contra si próprio, contra outra pessoa, ou contra um grupo ou uma comunidade, que resulte ou tenha grande possibilidade de resultar em lesão, morte, dano psicológico, deficiência de desenvolvimento ou privação. (...) A inclusão da palavra "poder", além da frase "uso da força física", amplia a natureza de um ato violento e expande o entendimento convencional de violência de modo a incluir aqueles atos que resultam de uma relação de poder, inclusive ameaças e intimidações. (...) Assim, "o uso da força física ou do poder" deve ser entendido de forma a incluir a negligência e todos os tipos de abuso físico, sexual e psicológico, bem como o suicídio e outros atos de auto-abuso. </w:t>
      </w:r>
    </w:p>
    <w:p w:rsidR="00000000" w:rsidDel="00000000" w:rsidP="00000000" w:rsidRDefault="00000000" w:rsidRPr="00000000" w14:paraId="0000013A">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left="36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estabelece distinções quanto às naturezas possíveis de violência interpessoal (infligida a terceiros) em física, psicológica, sexual, privação/negligência; no Brasil, o Ministério da Saúde - MS - (Brasil, 2025) trabalha com os mesmos conceitos, acrescentando também as de natureza moral, trabalho infantil, tortura, tráfico de seres humanos, financeira/econômica, abandono e intervenção legal. Aqui, trabalharemos com o olhar centrado na violência sexual – que está ligada às de natureza física e/ou psicológica -, ambientada no núcleo familiar, uma vez que a maior parte desta violação ocorre no âmbito doméstico, segundo dados do Atlas da Violência de 2025 que mostram que “(...) a residência é o local mais comum de ocorrência de violência contra crianças e adolescentes”, portanto, “(...) é natural esperar a violência familiar como fenômeno de maior frequência” (Cerqueira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2025). </w:t>
      </w:r>
    </w:p>
    <w:p w:rsidR="00000000" w:rsidDel="00000000" w:rsidP="00000000" w:rsidRDefault="00000000" w:rsidRPr="00000000" w14:paraId="0000013B">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left="36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latim </w:t>
      </w:r>
      <w:r w:rsidDel="00000000" w:rsidR="00000000" w:rsidRPr="00000000">
        <w:rPr>
          <w:rFonts w:ascii="Times New Roman" w:cs="Times New Roman" w:eastAsia="Times New Roman" w:hAnsi="Times New Roman"/>
          <w:i w:val="1"/>
          <w:iCs w:val="1"/>
          <w:sz w:val="24"/>
          <w:szCs w:val="24"/>
          <w:rtl w:val="0"/>
        </w:rPr>
        <w:t xml:space="preserve">abusus – </w:t>
      </w:r>
      <w:r w:rsidDel="00000000" w:rsidR="00000000" w:rsidRPr="00000000">
        <w:rPr>
          <w:rFonts w:ascii="Times New Roman" w:cs="Times New Roman" w:eastAsia="Times New Roman" w:hAnsi="Times New Roman"/>
          <w:sz w:val="24"/>
          <w:szCs w:val="24"/>
          <w:rtl w:val="0"/>
        </w:rPr>
        <w:t xml:space="preserve">prefixo </w:t>
      </w:r>
      <w:r w:rsidDel="00000000" w:rsidR="00000000" w:rsidRPr="00000000">
        <w:rPr>
          <w:rFonts w:ascii="Times New Roman" w:cs="Times New Roman" w:eastAsia="Times New Roman" w:hAnsi="Times New Roman"/>
          <w:i w:val="1"/>
          <w:iCs w:val="1"/>
          <w:sz w:val="24"/>
          <w:szCs w:val="24"/>
          <w:rtl w:val="0"/>
        </w:rPr>
        <w:t xml:space="preserve">ab- </w:t>
      </w:r>
      <w:r w:rsidDel="00000000" w:rsidR="00000000" w:rsidRPr="00000000">
        <w:rPr>
          <w:rFonts w:ascii="Times New Roman" w:cs="Times New Roman" w:eastAsia="Times New Roman" w:hAnsi="Times New Roman"/>
          <w:sz w:val="24"/>
          <w:szCs w:val="24"/>
          <w:rtl w:val="0"/>
        </w:rPr>
        <w:t xml:space="preserve">traz a ideia de negação e -</w:t>
      </w:r>
      <w:r w:rsidDel="00000000" w:rsidR="00000000" w:rsidRPr="00000000">
        <w:rPr>
          <w:rFonts w:ascii="Times New Roman" w:cs="Times New Roman" w:eastAsia="Times New Roman" w:hAnsi="Times New Roman"/>
          <w:i w:val="1"/>
          <w:iCs w:val="1"/>
          <w:sz w:val="24"/>
          <w:szCs w:val="24"/>
          <w:rtl w:val="0"/>
        </w:rPr>
        <w:t xml:space="preserve">usus</w:t>
      </w:r>
      <w:r w:rsidDel="00000000" w:rsidR="00000000" w:rsidRPr="00000000">
        <w:rPr>
          <w:rFonts w:ascii="Times New Roman" w:cs="Times New Roman" w:eastAsia="Times New Roman" w:hAnsi="Times New Roman"/>
          <w:sz w:val="24"/>
          <w:szCs w:val="24"/>
          <w:rtl w:val="0"/>
        </w:rPr>
        <w:t xml:space="preserve"> que significa “usar”; indica o uso incorreto ou impróprio; na etimologia, “indica a separação, o afastamento do uso (‘us’) normal” (Gabel, 1997). Logo, o Abuso Sexual pode ser descrito como qualquer forma de “contato, ato ou jogo sexual (...) tendo como objetivo a satisfação sexual” (Medeiros, 2013)</w:t>
      </w:r>
      <w:r w:rsidDel="00000000" w:rsidR="00000000" w:rsidRPr="00000000">
        <w:rPr>
          <w:rFonts w:ascii="Times New Roman" w:cs="Times New Roman" w:eastAsia="Times New Roman" w:hAnsi="Times New Roman"/>
          <w:sz w:val="26"/>
          <w:szCs w:val="26"/>
          <w:vertAlign w:val="superscript"/>
        </w:rPr>
        <w:footnoteReference w:customMarkFollows="0" w:id="5"/>
      </w:r>
      <w:r w:rsidDel="00000000" w:rsidR="00000000" w:rsidRPr="00000000">
        <w:rPr>
          <w:rFonts w:ascii="Times New Roman" w:cs="Times New Roman" w:eastAsia="Times New Roman" w:hAnsi="Times New Roman"/>
          <w:sz w:val="24"/>
          <w:szCs w:val="24"/>
          <w:rtl w:val="0"/>
        </w:rPr>
        <w:t xml:space="preserve">. Para Gabel (1997, p. 10), esta expressão  </w:t>
      </w:r>
    </w:p>
    <w:p w:rsidR="00000000" w:rsidDel="00000000" w:rsidP="00000000" w:rsidRDefault="00000000" w:rsidRPr="00000000" w14:paraId="0000013C">
      <w:pPr>
        <w:pBdr>
          <w:top w:color="auto" w:space="0" w:sz="0" w:val="none"/>
          <w:left w:color="auto" w:space="0" w:sz="0" w:val="none"/>
          <w:bottom w:color="auto" w:space="0" w:sz="0" w:val="none"/>
          <w:right w:color="auto" w:space="0" w:sz="0" w:val="none"/>
          <w:between w:color="auto" w:space="0" w:sz="0" w:val="none"/>
        </w:pBdr>
        <w:shd w:fill="ffffff" w:val="clear"/>
        <w:spacing w:after="30" w:before="30" w:line="240" w:lineRule="auto"/>
        <w:ind w:left="226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contém ainda a noção de poderio: abuso de poder ou de astúcia, abuso de confiança, ou seja, noções em que a intenção e a premeditação estão presentes. Abuso sexual supõe uma disfunção em três níveis: </w:t>
      </w:r>
    </w:p>
    <w:p w:rsidR="00000000" w:rsidDel="00000000" w:rsidP="00000000" w:rsidRDefault="00000000" w:rsidRPr="00000000" w14:paraId="0000013D">
      <w:pPr>
        <w:pBdr>
          <w:top w:color="auto" w:space="0" w:sz="0" w:val="none"/>
          <w:left w:color="auto" w:space="0" w:sz="0" w:val="none"/>
          <w:bottom w:color="auto" w:space="0" w:sz="0" w:val="none"/>
          <w:right w:color="auto" w:space="0" w:sz="0" w:val="none"/>
          <w:between w:color="auto" w:space="0" w:sz="0" w:val="none"/>
        </w:pBdr>
        <w:shd w:fill="ffffff" w:val="clear"/>
        <w:spacing w:after="30" w:before="30" w:line="240" w:lineRule="auto"/>
        <w:ind w:left="226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o poder exercido pelo grande (forte) sobre o pequeno (fraco); </w:t>
      </w:r>
    </w:p>
    <w:p w:rsidR="00000000" w:rsidDel="00000000" w:rsidP="00000000" w:rsidRDefault="00000000" w:rsidRPr="00000000" w14:paraId="0000013E">
      <w:pPr>
        <w:pBdr>
          <w:top w:color="auto" w:space="0" w:sz="0" w:val="none"/>
          <w:left w:color="auto" w:space="0" w:sz="0" w:val="none"/>
          <w:bottom w:color="auto" w:space="0" w:sz="0" w:val="none"/>
          <w:right w:color="auto" w:space="0" w:sz="0" w:val="none"/>
          <w:between w:color="auto" w:space="0" w:sz="0" w:val="none"/>
        </w:pBdr>
        <w:shd w:fill="ffffff" w:val="clear"/>
        <w:spacing w:after="30" w:before="30" w:line="240" w:lineRule="auto"/>
        <w:ind w:left="226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 confiança que o pequeno (dependente) tem no grande (protetor); </w:t>
      </w:r>
    </w:p>
    <w:p w:rsidR="00000000" w:rsidDel="00000000" w:rsidP="00000000" w:rsidRDefault="00000000" w:rsidRPr="00000000" w14:paraId="0000013F">
      <w:pPr>
        <w:pBdr>
          <w:top w:color="auto" w:space="0" w:sz="0" w:val="none"/>
          <w:left w:color="auto" w:space="0" w:sz="0" w:val="none"/>
          <w:bottom w:color="auto" w:space="0" w:sz="0" w:val="none"/>
          <w:right w:color="auto" w:space="0" w:sz="0" w:val="none"/>
          <w:between w:color="auto" w:space="0" w:sz="0" w:val="none"/>
        </w:pBdr>
        <w:shd w:fill="ffffff" w:val="clear"/>
        <w:spacing w:after="30" w:before="30" w:line="240" w:lineRule="auto"/>
        <w:ind w:left="226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o uso delinquente da sexualidade, ou seja, o atentado ao direito que todo indivíduo tem de propriedade sobre o seu corpo. </w:t>
      </w:r>
    </w:p>
    <w:p w:rsidR="00000000" w:rsidDel="00000000" w:rsidP="00000000" w:rsidRDefault="00000000" w:rsidRPr="00000000" w14:paraId="00000140">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left="36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Conforme discutido no primeiro tópico deste trabalho, percebemos que o “forte” e “protetor” a quem Gabel se refere, muitas vezes, é um homem, que possui a confiança da vítima. Segundo dados do 19º Anuário Brasileiro de Segurança Pública (Fórum Brasileiro de Segurança Pública - FBSP, 2025), o perfil dos abusadores segue sendo majoritariamente masculino e alguém próximo à vítima</w:t>
      </w:r>
      <w:r w:rsidDel="00000000" w:rsidR="00000000" w:rsidRPr="00000000">
        <w:rPr>
          <w:rFonts w:ascii="Times New Roman" w:cs="Times New Roman" w:eastAsia="Times New Roman" w:hAnsi="Times New Roman"/>
          <w:sz w:val="26"/>
          <w:szCs w:val="26"/>
          <w:vertAlign w:val="superscript"/>
        </w:rPr>
        <w:footnoteReference w:customMarkFollows="0" w:id="6"/>
      </w:r>
      <w:r w:rsidDel="00000000" w:rsidR="00000000" w:rsidRPr="00000000">
        <w:rPr>
          <w:rFonts w:ascii="Times New Roman" w:cs="Times New Roman" w:eastAsia="Times New Roman" w:hAnsi="Times New Roman"/>
          <w:sz w:val="24"/>
          <w:szCs w:val="24"/>
          <w:rtl w:val="0"/>
        </w:rPr>
        <w:t xml:space="preserve"> - parente ou conhecido da família, alguém que convive e tem livre acesso, “(...) o que reforça a ideia de que esses crimes não derivam apenas de impulsos individuais, mas de estruturas sociais permissivas e de desigualdades consolidadas” (FBSP, 2025, p. 179), estruturas estas inseridas em uma ideologia patriarcal, conforme discutido no primeiro tópico deste trabalho. </w:t>
      </w:r>
    </w:p>
    <w:p w:rsidR="00000000" w:rsidDel="00000000" w:rsidP="00000000" w:rsidRDefault="00000000" w:rsidRPr="00000000" w14:paraId="00000141">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left="36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proximidade com a criança ou adolescente vítima é algo buscado por esses agressores, como forma de aproximação invisível e o espaço da família é o local propício para a perpetração das violências sexuais contra este grupo, o que corrobora em afirmar que há um “mito de que a família é universalmente um local de segurança e refúgio” (Batista, 2009, p. 16), sendo assim, podemos dizer que a violência sexual contra crianças e adolescentes no meio intrafamiliar é uma </w:t>
      </w:r>
      <w:r w:rsidDel="00000000" w:rsidR="00000000" w:rsidRPr="00000000">
        <w:rPr>
          <w:rFonts w:ascii="Times New Roman" w:cs="Times New Roman" w:eastAsia="Times New Roman" w:hAnsi="Times New Roman"/>
          <w:b w:val="1"/>
          <w:bCs w:val="1"/>
          <w:sz w:val="24"/>
          <w:szCs w:val="24"/>
          <w:rtl w:val="0"/>
        </w:rPr>
        <w:t xml:space="preserve">violência oculta</w:t>
      </w:r>
      <w:r w:rsidDel="00000000" w:rsidR="00000000" w:rsidRPr="00000000">
        <w:rPr>
          <w:rFonts w:ascii="Times New Roman" w:cs="Times New Roman" w:eastAsia="Times New Roman" w:hAnsi="Times New Roman"/>
          <w:sz w:val="24"/>
          <w:szCs w:val="24"/>
          <w:rtl w:val="0"/>
        </w:rPr>
        <w:t xml:space="preserve"> (Medeiros, 2013), pois há o interesse em “(...) se preservar a família, por pior que ela seja, na medida em que esta instituição social está envolta pelo sagrado, ou por que se tem vergonha de expô-los” (Saffioti, 2015, p. 09).  </w:t>
      </w:r>
    </w:p>
    <w:p w:rsidR="00000000" w:rsidDel="00000000" w:rsidP="00000000" w:rsidRDefault="00000000" w:rsidRPr="00000000" w14:paraId="00000142">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left="36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Toda e qualquer violência ocorrida neste espaço é silenciada e banalizada (Batista, 2009), o que reforça socialmente o tabu das violações intrafamiliares e naturaliza os abusos cometidos por pessoas próximas às crianças e aos adolescentes, afinal, este grupo está sob uma ótica conservadora que os enxerga como “(...) empecilhos a objetos de pertença, o que dava aos pais o poder de fazer com eles o que bem entendessem; o que incluía frequentes castigos e agressões (...)” (Batista, 2009, p. 15).  </w:t>
      </w:r>
    </w:p>
    <w:p w:rsidR="00000000" w:rsidDel="00000000" w:rsidP="00000000" w:rsidRDefault="00000000" w:rsidRPr="00000000" w14:paraId="00000143">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left="36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Além disso, o adulto violador não mede suas agressões àquele ser menor, há a descredibilização da figura da criança e do adolescente enquanto sujeito - ele seria visto como uma “redução do adulto” (Ariés, 1986), portanto, seu corpo é de uso livre do maior. </w:t>
      </w:r>
    </w:p>
    <w:p w:rsidR="00000000" w:rsidDel="00000000" w:rsidP="00000000" w:rsidRDefault="00000000" w:rsidRPr="00000000" w14:paraId="00000144">
      <w:pPr>
        <w:pBdr>
          <w:top w:color="auto" w:space="0" w:sz="0" w:val="none"/>
          <w:left w:color="auto" w:space="0" w:sz="0" w:val="none"/>
          <w:bottom w:color="auto" w:space="0" w:sz="0" w:val="none"/>
          <w:right w:color="auto" w:space="0" w:sz="0" w:val="none"/>
          <w:between w:color="auto" w:space="0" w:sz="0" w:val="none"/>
        </w:pBdr>
        <w:shd w:fill="ffffff" w:val="clear"/>
        <w:spacing w:after="30" w:before="30" w:line="240" w:lineRule="auto"/>
        <w:ind w:left="226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Há desigualdade de tamanho, de força física, psicológica e social, de idade, de autoridade, de geração, de recursos materiais e de argumentação, de experiência de vida, de status social. Trata-se também de um poder violento, pois além de violar os direitos à integridade física e psicológica viola o direito ao desenvolvimento pleno e sadio (Faleiros, 2004). </w:t>
      </w:r>
    </w:p>
    <w:p w:rsidR="00000000" w:rsidDel="00000000" w:rsidP="00000000" w:rsidRDefault="00000000" w:rsidRPr="00000000" w14:paraId="00000145">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left="36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papel da família, subentendido como norma social e legal, é de zelar pelo crescimento sadio daquele ser em desenvolvimento, como afirmado por Paula (2023), “(...) a família é o lócus privilegiado de desenvolvimento da sociabilidade desses grupos, mas também lócus privilegiado de perpetração da violência”. </w:t>
      </w:r>
    </w:p>
    <w:p w:rsidR="00000000" w:rsidDel="00000000" w:rsidP="00000000" w:rsidRDefault="00000000" w:rsidRPr="00000000" w14:paraId="00000146">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left="36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Conforme anteriormente exposto, ao homem/pai cabe prover o sustento dos integrantes, advindo do ofício em local exterior à residência, e à mulher/mãe cabe o papel do cuidado, do zelo, da manutenção do lar e de seus integrantes – este papel destinado à figura feminina pressupõe o preparo do marido para a jornada laboral exaustiva e de seus filhos para cumprirem seus papéis sociais pré-definidos na sociedade, no que Hirata e Kergoat (2007) discutem como divisão sexual do trabalho - para além da disparidade dentro do mercado de trabalho, existe também a “(...) divisão desigual do trabalho doméstico entre os sexos” (p. 596). Desta forma, a persona maternal desempenha papel fundamental na perpetuação desses papéis normativos e sexistas de gênero, gerando a naturalização e banalização dessas violências. </w:t>
      </w:r>
    </w:p>
    <w:p w:rsidR="00000000" w:rsidDel="00000000" w:rsidP="00000000" w:rsidRDefault="00000000" w:rsidRPr="00000000" w14:paraId="00000147">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left="36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Outrossim, muitas das vezes, a figura masculina é o único provedor daquele núcleo familiar, em vista disso, os seus dependentes - esposa e filhos – viram reféns e seu sustento e, portanto, têm medo de denunciar as situações violentas por ele perpetradas, evidenciando a vulnerabilidade social desses grupos. Romper com o ciclo violento se torna mais complexo quando se leva em consideração a necessidade de sobrevivência num cenário de ordem capitalista e patriarcal, pois segundo o 3º Relatório de Transparência Salarial e Igualdade</w:t>
      </w:r>
      <w:r w:rsidDel="00000000" w:rsidR="00000000" w:rsidRPr="00000000">
        <w:rPr>
          <w:rFonts w:ascii="Times New Roman" w:cs="Times New Roman" w:eastAsia="Times New Roman" w:hAnsi="Times New Roman"/>
          <w:sz w:val="26"/>
          <w:szCs w:val="26"/>
          <w:vertAlign w:val="superscript"/>
        </w:rPr>
        <w:footnoteReference w:customMarkFollows="0" w:id="7"/>
      </w:r>
      <w:r w:rsidDel="00000000" w:rsidR="00000000" w:rsidRPr="00000000">
        <w:rPr>
          <w:rFonts w:ascii="Times New Roman" w:cs="Times New Roman" w:eastAsia="Times New Roman" w:hAnsi="Times New Roman"/>
          <w:sz w:val="24"/>
          <w:szCs w:val="24"/>
          <w:rtl w:val="0"/>
        </w:rPr>
        <w:t xml:space="preserve">, apesar do constante aumento da participação feminina no mercado de trabalho, ainda há a persistência da disparidade de ganho salarial entre homens e mulheres, que ganham menos em relação a eles, mesmo que ocupem cargos semelhantes, por exemplo. </w:t>
      </w:r>
    </w:p>
    <w:p w:rsidR="00000000" w:rsidDel="00000000" w:rsidP="00000000" w:rsidRDefault="00000000" w:rsidRPr="00000000" w14:paraId="00000148">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40" w:line="360" w:lineRule="auto"/>
        <w:jc w:val="center"/>
        <w:rPr/>
      </w:pPr>
      <w:bookmarkStart w:colFirst="0" w:colLast="0" w:name="_jzjbawlwrpi" w:id="22"/>
      <w:bookmarkEnd w:id="22"/>
      <w:r w:rsidDel="00000000" w:rsidR="00000000" w:rsidRPr="00000000">
        <w:rPr>
          <w:rtl w:val="0"/>
        </w:rPr>
        <w:t xml:space="preserve">3. ENGENDRAMENTO DA VIOLAÇÃO: A PERSUASÃO DA CRIANÇA E DO ADOLESCENTE </w:t>
      </w: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left="36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da discussão anterior, entendemos o lugar complexo do tabu que envolve a perpetuação dos abusos sexuais intrafamiliares; neste espaço iremos então discorrer sobre como se dá a dinâmica dessas práticas violadoras, na relação direta de agressor-vítima. </w:t>
      </w:r>
    </w:p>
    <w:p w:rsidR="00000000" w:rsidDel="00000000" w:rsidP="00000000" w:rsidRDefault="00000000" w:rsidRPr="00000000" w14:paraId="0000014B">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left="36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Medeiros (2013) descreve esta dinâmica utilizando uma divisão em cinco fases, que nomeia de Envolvimento, Interação Sexual, Sigilo, Revelação e Supressão. </w:t>
      </w:r>
    </w:p>
    <w:p w:rsidR="00000000" w:rsidDel="00000000" w:rsidP="00000000" w:rsidRDefault="00000000" w:rsidRPr="00000000" w14:paraId="0000014C">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left="36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primeira fase, o Envolvimento, é o contato inicial entre agressor (adulto, majoritariamente masculino) e vítima (criança ou adolescente, majoritariamente meninas, o que não significa que meninos também não sejam vítimas). Neste momento, o violador já observou as brechas existentes que o permitem se aproximar e conseguir o acesso direto à criança ou ao adolescente de maneira isolada e sem gerar desconfiança de outros adultos, introduzindo os abusos através de ofertas de presentes ou brincadeiras – como “pega-pega” ou “cabaninha” -, buscando criar uma relação de confiança com o infante/o jovem. </w:t>
      </w:r>
    </w:p>
    <w:p w:rsidR="00000000" w:rsidDel="00000000" w:rsidP="00000000" w:rsidRDefault="00000000" w:rsidRPr="00000000" w14:paraId="0000014D">
      <w:pPr>
        <w:pBdr>
          <w:top w:color="auto" w:space="0" w:sz="0" w:val="none"/>
          <w:left w:color="auto" w:space="0" w:sz="0" w:val="none"/>
          <w:bottom w:color="auto" w:space="0" w:sz="0" w:val="none"/>
          <w:right w:color="auto" w:space="0" w:sz="0" w:val="none"/>
          <w:between w:color="auto" w:space="0" w:sz="0" w:val="none"/>
        </w:pBdr>
        <w:shd w:fill="ffffff" w:val="clear"/>
        <w:spacing w:after="30" w:before="30" w:line="240" w:lineRule="auto"/>
        <w:ind w:left="226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 poder e a autoridade dos adultos transmitem à criança que o comportamento proposto é aceito e aprovado. Geralmente o perpetrador conhece alguma coisa que agrade às crianças e sabe como fazer para que elas participem de alguma atividade. Talvez sejam oferecidas recompensas ou subornos. Quase sempre a oportunidade de participar de alguma atividade com um adulto conhecido e estimado é um incentivo suficiente para que a criança participe (FAHLBERG, 2001, p. 38 </w:t>
      </w:r>
      <w:r w:rsidDel="00000000" w:rsidR="00000000" w:rsidRPr="00000000">
        <w:rPr>
          <w:rFonts w:ascii="Times New Roman" w:cs="Times New Roman" w:eastAsia="Times New Roman" w:hAnsi="Times New Roman"/>
          <w:i w:val="1"/>
          <w:iCs w:val="1"/>
          <w:sz w:val="20"/>
          <w:szCs w:val="20"/>
          <w:rtl w:val="0"/>
        </w:rPr>
        <w:t xml:space="preserve">apud </w:t>
      </w:r>
      <w:r w:rsidDel="00000000" w:rsidR="00000000" w:rsidRPr="00000000">
        <w:rPr>
          <w:rFonts w:ascii="Times New Roman" w:cs="Times New Roman" w:eastAsia="Times New Roman" w:hAnsi="Times New Roman"/>
          <w:sz w:val="20"/>
          <w:szCs w:val="20"/>
          <w:rtl w:val="0"/>
        </w:rPr>
        <w:t xml:space="preserve">Medeiros, 2013). </w:t>
      </w:r>
    </w:p>
    <w:p w:rsidR="00000000" w:rsidDel="00000000" w:rsidP="00000000" w:rsidRDefault="00000000" w:rsidRPr="00000000" w14:paraId="0000014E">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left="36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Saffioti (2015) explora o envolvimento a partir também das classes sociais, destacando diferenças quanto à abordagem nas camadas mais e menos favorecidas da sociedade. Segundo a autora, nas classes média/alta, o abusador oferece recompensas como presentes, viagens e passeios ou qualquer outra “moeda de troca” para que a criança “permita” aqueles toques; já nas classes “subprivilegiadas”, a aproximação ocorre de maneira mais rude e direta, com ameaças à vida da vítima e à família. Saffioti aponta que essa diferenciação se dá em razão do nível de “instrução” (escolar, social e cultural) do abusador e da família envolvida, o que reflete nas disparidades socioeconômicas em que se inserem os atores da violência. </w:t>
      </w:r>
    </w:p>
    <w:p w:rsidR="00000000" w:rsidDel="00000000" w:rsidP="00000000" w:rsidRDefault="00000000" w:rsidRPr="00000000" w14:paraId="0000014F">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left="36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Saffioti (</w:t>
      </w:r>
      <w:r w:rsidDel="00000000" w:rsidR="00000000" w:rsidRPr="00000000">
        <w:rPr>
          <w:rFonts w:ascii="Times New Roman" w:cs="Times New Roman" w:eastAsia="Times New Roman" w:hAnsi="Times New Roman"/>
          <w:i w:val="1"/>
          <w:iCs w:val="1"/>
          <w:sz w:val="24"/>
          <w:szCs w:val="24"/>
          <w:rtl w:val="0"/>
        </w:rPr>
        <w:t xml:space="preserve">ibid.</w:t>
      </w:r>
      <w:r w:rsidDel="00000000" w:rsidR="00000000" w:rsidRPr="00000000">
        <w:rPr>
          <w:rFonts w:ascii="Times New Roman" w:cs="Times New Roman" w:eastAsia="Times New Roman" w:hAnsi="Times New Roman"/>
          <w:sz w:val="24"/>
          <w:szCs w:val="24"/>
          <w:rtl w:val="0"/>
        </w:rPr>
        <w:t xml:space="preserve">) também avalia que, nos casos de abusos perpetrados pela figura paterna – seja pai ou padrasto -, o abusador procura, primeiramente (caso houver), a enteada mais velha para iniciar seus atos; não havendo denúncia, ele procura a enteada mais nova que a vítima anterior e, caso não exista, viola sua própria filha e até mesmo o seu próprio filho, buscando sempre por idade (mais velhos “trocados” pelos mais novos depois de um tempo de abuso) e por gênero (as meninas primeiro que os meninos). Contudo, não deve ser levado como regra à dinâmica da violência, apenas uma observação de comportamentos que se repetiram em estudos da autora. </w:t>
      </w:r>
    </w:p>
    <w:p w:rsidR="00000000" w:rsidDel="00000000" w:rsidP="00000000" w:rsidRDefault="00000000" w:rsidRPr="00000000" w14:paraId="00000150">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left="36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Após o envolvimento, com a certeza de que não será descoberto, o agressor parte para a Interação Sexual. Esta interação, quase invariavelmente, não caminha diretamente para as práticas sexuais orais, vaginais ou anais – exceto nas interações em que há violência física e ameaças logo a partir do primeiro contato -, mas sim passa pela demonstração do corpo adulto nu, incentivando a criança a fazer o mesmo, e progride para as carícias disfarçadas de “cócegas” ou outra brincadeira que envolva o toque. Agindo por curiosidade, a vítima é instigada a tocar no órgão sexual do agressor e é estimulada. “Como a sexualidade da mulher é difusa por todo o corpo e a sexualidade infantil não é genitalizada, as carícias percorrem toda a superfície de seu corpo, proporcionando prazer à vítima” (Saffioti, 2015, p.21-22). </w:t>
      </w:r>
    </w:p>
    <w:p w:rsidR="00000000" w:rsidDel="00000000" w:rsidP="00000000" w:rsidRDefault="00000000" w:rsidRPr="00000000" w14:paraId="00000151">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left="36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Nesta fase, o abusador já possui a relação de confiança tão desejada e evolui as carícias e demonstrações para o sexo oral, uma vez que “não há como comprovar o ato” por não ter ocorrido o desvirginamento; podendo ocorrer também a tentativa de se esfregar na vítima - ação que antecede a tentativa de penetração -.  </w:t>
      </w:r>
    </w:p>
    <w:p w:rsidR="00000000" w:rsidDel="00000000" w:rsidP="00000000" w:rsidRDefault="00000000" w:rsidRPr="00000000" w14:paraId="00000152">
      <w:pPr>
        <w:pBdr>
          <w:top w:color="auto" w:space="0" w:sz="0" w:val="none"/>
          <w:left w:color="auto" w:space="0" w:sz="0" w:val="none"/>
          <w:bottom w:color="auto" w:space="0" w:sz="0" w:val="none"/>
          <w:right w:color="auto" w:space="0" w:sz="0" w:val="none"/>
          <w:between w:color="auto" w:space="0" w:sz="0" w:val="none"/>
        </w:pBdr>
        <w:shd w:fill="ffffff" w:val="clear"/>
        <w:spacing w:after="30" w:before="30" w:line="240" w:lineRule="auto"/>
        <w:ind w:left="226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 critério utilizado pelo autor é o tamanho da criança, a experiência sexual e o grau de coerção. (...) Essa etapa da dinâmica do abuso sexual pode durar meses ou anos. A manutenção dessa interação sexual se perpetua, pois o sigilo, que é a próxima fase, é utilizado para manter essa relação (Medeiros, 2013, p. 102). </w:t>
      </w:r>
    </w:p>
    <w:p w:rsidR="00000000" w:rsidDel="00000000" w:rsidP="00000000" w:rsidRDefault="00000000" w:rsidRPr="00000000" w14:paraId="00000153">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left="36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Sigilo ocorre como conservação daquela prática pelo autor da violência, uma vez que ele anseia pela repetição, sem que haja a descoberta dos seus atos. Ele então manipula a vítima para que as práticas sejam um “segredo” entre os dois e, para que este segredo seja mantido, ele se utilizará de chantagens – como dinheiro, favores, comidas ou doces ou qualquer coisa de interesse à criança - e de ameaças - por vezes, de forma velada e, geralmente com o passar da idade da vítima e entendimento da violação sofrida, de forma direta como ameaça de morte. “A criança pode temer repercussões diretas, tais como violência infligida à mãe, irmãos, animais de estimação, propriedade e, mais provavelmente, a si mesma” (Amendola, 2009, p. 84). Comumente, essas ameaças são de cunho psicológico apenas, para evitar maiores explicações que a marca de uma violência física exigiria, por exemplo.  </w:t>
      </w:r>
    </w:p>
    <w:p w:rsidR="00000000" w:rsidDel="00000000" w:rsidP="00000000" w:rsidRDefault="00000000" w:rsidRPr="00000000" w14:paraId="00000154">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left="360"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Por este motivo, a violência sexual contra crianças e adolescentes no meio intrafamiliar é complexa e difícil de se identificar, assim, a fase da Revelação não é uma realidade para muitas vítimas</w:t>
      </w:r>
      <w:r w:rsidDel="00000000" w:rsidR="00000000" w:rsidRPr="00000000">
        <w:rPr>
          <w:rFonts w:ascii="Times New Roman" w:cs="Times New Roman" w:eastAsia="Times New Roman" w:hAnsi="Times New Roman"/>
          <w:sz w:val="26"/>
          <w:szCs w:val="26"/>
          <w:vertAlign w:val="superscript"/>
        </w:rPr>
        <w:footnoteReference w:customMarkFollows="0" w:id="8"/>
      </w:r>
      <w:r w:rsidDel="00000000" w:rsidR="00000000" w:rsidRPr="00000000">
        <w:rPr>
          <w:rFonts w:ascii="Times New Roman" w:cs="Times New Roman" w:eastAsia="Times New Roman" w:hAnsi="Times New Roman"/>
          <w:sz w:val="24"/>
          <w:szCs w:val="24"/>
          <w:rtl w:val="0"/>
        </w:rPr>
        <w:t xml:space="preserve">. Para Medeiros (</w:t>
      </w:r>
      <w:r w:rsidDel="00000000" w:rsidR="00000000" w:rsidRPr="00000000">
        <w:rPr>
          <w:rFonts w:ascii="Times New Roman" w:cs="Times New Roman" w:eastAsia="Times New Roman" w:hAnsi="Times New Roman"/>
          <w:i w:val="1"/>
          <w:iCs w:val="1"/>
          <w:sz w:val="24"/>
          <w:szCs w:val="24"/>
          <w:rtl w:val="0"/>
        </w:rPr>
        <w:t xml:space="preserve">ibid.</w:t>
      </w:r>
      <w:r w:rsidDel="00000000" w:rsidR="00000000" w:rsidRPr="00000000">
        <w:rPr>
          <w:rFonts w:ascii="Times New Roman" w:cs="Times New Roman" w:eastAsia="Times New Roman" w:hAnsi="Times New Roman"/>
          <w:sz w:val="24"/>
          <w:szCs w:val="24"/>
          <w:rtl w:val="0"/>
        </w:rPr>
        <w:t xml:space="preserve">), a revelação do abuso, quando ocorre, pode ser de forma acidental ou proposital</w:t>
      </w:r>
      <w:r w:rsidDel="00000000" w:rsidR="00000000" w:rsidRPr="00000000">
        <w:rPr>
          <w:rFonts w:ascii="Times New Roman" w:cs="Times New Roman" w:eastAsia="Times New Roman" w:hAnsi="Times New Roman"/>
          <w:sz w:val="26"/>
          <w:szCs w:val="26"/>
          <w:vertAlign w:val="superscript"/>
        </w:rPr>
        <w:footnoteReference w:customMarkFollows="0" w:id="9"/>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55">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left="36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Supressão tem ligação com os casos em que, após a descoberta, a vítima não é acolhida em sua demanda, tendo a sua voz “suprimida e desconsiderada” (</w:t>
      </w:r>
      <w:r w:rsidDel="00000000" w:rsidR="00000000" w:rsidRPr="00000000">
        <w:rPr>
          <w:rFonts w:ascii="Times New Roman" w:cs="Times New Roman" w:eastAsia="Times New Roman" w:hAnsi="Times New Roman"/>
          <w:i w:val="1"/>
          <w:iCs w:val="1"/>
          <w:sz w:val="24"/>
          <w:szCs w:val="24"/>
          <w:rtl w:val="0"/>
        </w:rPr>
        <w:t xml:space="preserve">ibid.</w:t>
      </w:r>
      <w:r w:rsidDel="00000000" w:rsidR="00000000" w:rsidRPr="00000000">
        <w:rPr>
          <w:rFonts w:ascii="Times New Roman" w:cs="Times New Roman" w:eastAsia="Times New Roman" w:hAnsi="Times New Roman"/>
          <w:sz w:val="24"/>
          <w:szCs w:val="24"/>
          <w:rtl w:val="0"/>
        </w:rPr>
        <w:t xml:space="preserve">) - ocasionando em mais uma vivência violenta para aquela criança/adolescente. Salientamos a conclusão da autora de que, em muitos casos, a dinâmica do abuso não evolui para muito além da fase do Sigilo, “nunca sendo descoberta ou descobrindo-se anos depois, já na fase adulta”. Em muitos casos, a vítima tem dificuldade em se perceber nesse papel e fazer a denúncia, a noção da violação sofrida pode ocorrer apenas na vida adulta, com o acompanhamento psicológico ou aproximação com histórias parecidas, que a fazem identificar a violação pela qual passara. Para estes casos, a justiça brasileira promulgou a Lei Joanna Maranhão de nº 12.650/2012 (Brasil, 2012)</w:t>
      </w:r>
      <w:r w:rsidDel="00000000" w:rsidR="00000000" w:rsidRPr="00000000">
        <w:rPr>
          <w:rFonts w:ascii="Times New Roman" w:cs="Times New Roman" w:eastAsia="Times New Roman" w:hAnsi="Times New Roman"/>
          <w:sz w:val="24"/>
          <w:szCs w:val="24"/>
          <w:vertAlign w:val="superscript"/>
        </w:rPr>
        <w:footnoteReference w:customMarkFollows="0" w:id="10"/>
      </w:r>
      <w:r w:rsidDel="00000000" w:rsidR="00000000" w:rsidRPr="00000000">
        <w:rPr>
          <w:rFonts w:ascii="Times New Roman" w:cs="Times New Roman" w:eastAsia="Times New Roman" w:hAnsi="Times New Roman"/>
          <w:sz w:val="24"/>
          <w:szCs w:val="24"/>
          <w:rtl w:val="0"/>
        </w:rPr>
        <w:t xml:space="preserve">, que estabelece novas regras relativas ao prazo de prescrição de um crime sexual cometido contra a criança e ao adolescente – que começa a correr a partir do momento em que a vítima completar dezoito anos por considerar que a maioridade facilitaria denúncias não feitas anteriormente dada a inibição por domínio do agressor ou por falta de entendimento da situação enquanto violação. </w:t>
      </w:r>
    </w:p>
    <w:p w:rsidR="00000000" w:rsidDel="00000000" w:rsidP="00000000" w:rsidRDefault="00000000" w:rsidRPr="00000000" w14:paraId="00000156">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left="36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vivência da violência sexual durante as fases de desenvolvimento da infância e juventude gera consequências que são observadas a longo prazo, como traumas psicológicos, desenvolvimento de transtornos como ansiedade e depressão, culpabilização excessiva que atravessa o sujeito já adulto e risco de ocorrência de Infecções Sexualmente Transmissíveis - IST. </w:t>
      </w:r>
    </w:p>
    <w:p w:rsidR="00000000" w:rsidDel="00000000" w:rsidP="00000000" w:rsidRDefault="00000000" w:rsidRPr="00000000" w14:paraId="00000157">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left="36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left="36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left="36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x6degso9tnhd" w:id="23"/>
      <w:bookmarkEnd w:id="23"/>
      <w:r w:rsidDel="00000000" w:rsidR="00000000" w:rsidRPr="00000000">
        <w:rPr>
          <w:rtl w:val="0"/>
        </w:rPr>
        <w:t xml:space="preserve">4. PANORAMA DA VIOLÊNCIA CONTRA CRIANÇAS NO BRASIL E NO RIO DE JANEIRO </w:t>
      </w: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Sabemos que o estado do Rio de Janeiro possui a fama internacional de “Cidade Maravilhosa”, lugar de incríveis praias, locais para conhecer e povo alegre, mas também é o “purgatório da beleza e do caos”</w:t>
      </w:r>
      <w:r w:rsidDel="00000000" w:rsidR="00000000" w:rsidRPr="00000000">
        <w:rPr>
          <w:rFonts w:ascii="Times New Roman" w:cs="Times New Roman" w:eastAsia="Times New Roman" w:hAnsi="Times New Roman"/>
          <w:sz w:val="26"/>
          <w:szCs w:val="26"/>
          <w:vertAlign w:val="superscript"/>
        </w:rPr>
        <w:footnoteReference w:customMarkFollows="0" w:id="11"/>
      </w:r>
      <w:r w:rsidDel="00000000" w:rsidR="00000000" w:rsidRPr="00000000">
        <w:rPr>
          <w:rFonts w:ascii="Times New Roman" w:cs="Times New Roman" w:eastAsia="Times New Roman" w:hAnsi="Times New Roman"/>
          <w:sz w:val="24"/>
          <w:szCs w:val="24"/>
          <w:rtl w:val="0"/>
        </w:rPr>
        <w:t xml:space="preserve">, reconhecida nacionalmente como uma cidade violenta e traiçoeira. Conforme pesquisa publicada no Anuário da Violência de 2023, o estado ficou na lista das 20 cidades mais violentas, sendo representada pela cidade de Itaguaí na ocupação do 16º lugar; já no Anuário de 2024, o Rio fica de fora dessa lista, contudo, apresentou aumento em crimes como o estupro</w:t>
      </w:r>
      <w:r w:rsidDel="00000000" w:rsidR="00000000" w:rsidRPr="00000000">
        <w:rPr>
          <w:rFonts w:ascii="Times New Roman" w:cs="Times New Roman" w:eastAsia="Times New Roman" w:hAnsi="Times New Roman"/>
          <w:sz w:val="26"/>
          <w:szCs w:val="26"/>
          <w:vertAlign w:val="superscript"/>
        </w:rPr>
        <w:footnoteReference w:customMarkFollows="0" w:id="12"/>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D">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Sabemos, também, que o </w:t>
      </w:r>
      <w:r w:rsidDel="00000000" w:rsidR="00000000" w:rsidRPr="00000000">
        <w:rPr>
          <w:rFonts w:ascii="Times New Roman" w:cs="Times New Roman" w:eastAsia="Times New Roman" w:hAnsi="Times New Roman"/>
          <w:i w:val="1"/>
          <w:iCs w:val="1"/>
          <w:sz w:val="24"/>
          <w:szCs w:val="24"/>
          <w:rtl w:val="0"/>
        </w:rPr>
        <w:t xml:space="preserve">lockdown</w:t>
      </w:r>
      <w:r w:rsidDel="00000000" w:rsidR="00000000" w:rsidRPr="00000000">
        <w:rPr>
          <w:rFonts w:ascii="Times New Roman" w:cs="Times New Roman" w:eastAsia="Times New Roman" w:hAnsi="Times New Roman"/>
          <w:sz w:val="24"/>
          <w:szCs w:val="24"/>
          <w:rtl w:val="0"/>
        </w:rPr>
        <w:t xml:space="preserve"> estabelecido pela pandemia da Covid-19 - iniciado em 2020 e perdurou até 2021, até que a doença fosse considerada “controlada” - obrigou milhares de famílias cariocas a se isolarem em seus lares – e obrigou milhares de crianças e adolescentes a conviverem diariamente com os seus violadores – e isso interferiu diretamente nas estatísticas das pesquisas citada. </w:t>
      </w:r>
    </w:p>
    <w:p w:rsidR="00000000" w:rsidDel="00000000" w:rsidP="00000000" w:rsidRDefault="00000000" w:rsidRPr="00000000" w14:paraId="0000015E">
      <w:pPr>
        <w:pBdr>
          <w:top w:color="auto" w:space="0" w:sz="0" w:val="none"/>
          <w:left w:color="auto" w:space="0" w:sz="0" w:val="none"/>
          <w:bottom w:color="auto" w:space="0" w:sz="0" w:val="none"/>
          <w:right w:color="auto" w:space="0" w:sz="0" w:val="none"/>
          <w:between w:color="auto" w:space="0" w:sz="0" w:val="none"/>
        </w:pBdr>
        <w:shd w:fill="ffffff" w:val="clear"/>
        <w:spacing w:after="30" w:before="30" w:line="240" w:lineRule="auto"/>
        <w:ind w:left="226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Como estudos sistemáticos têm apontado, o período de isolamento social não apenas potencializou a subnotificação de violência doméstica (contexto em que ocorrem [...] a maioria dos casos de violência contra crianças e adolescentes), mas também a exacerbou significativamente, uma vez que o confinamento aumentou o tempo que as vítimas passaram com seus agressores e reduziu o acesso a redes de apoio formais e informais (FBSP, 2024, p. 196). </w:t>
      </w:r>
    </w:p>
    <w:p w:rsidR="00000000" w:rsidDel="00000000" w:rsidP="00000000" w:rsidRDefault="00000000" w:rsidRPr="00000000" w14:paraId="0000015F">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dados discutidos aqui têm por base o Anuário citado anteriormente, do Fórum Brasileiro de Segurança Pública - FBSP, com a análise de dados das 18ª (FBSP, 2024) e 19ª (FBSP, 2025) edições - referentes a obtenção de informações coletadas entre os anos de 2023 e 2024 -, como forma de trazer contextos mais atuais a este trabalho. Através disso, conseguimos delinear um perfil – a nível nacional – de vítimas e agressores, utilizando as tabelas de “Estupro e Estupro de Vulnerável” e outros títulos semelhantes dentro dos grandes temas de “Violência doméstica e sexual” e “Violência Contra Crianças e Adolescentes”. </w:t>
      </w:r>
    </w:p>
    <w:p w:rsidR="00000000" w:rsidDel="00000000" w:rsidP="00000000" w:rsidRDefault="00000000" w:rsidRPr="00000000" w14:paraId="00000160">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nível nacional, o perfil se mantém: a maioria das vítimas são do gênero feminino (em 2024 foram 88,2% e em 2025 87,7%), negras (2024: 52,2%; 2025: 55,6%) e com idade média de 10-13 anos (2024: 32,5%; 2025: 32,8%) e a maioria dos abusadores é um familiar (2024: 64%; 2025: 45,5%), corroborando para os índices que trazem os locais de maiores incidências desses abusos: a residência. </w:t>
      </w:r>
    </w:p>
    <w:p w:rsidR="00000000" w:rsidDel="00000000" w:rsidP="00000000" w:rsidRDefault="00000000" w:rsidRPr="00000000" w14:paraId="00000161">
      <w:pPr>
        <w:pBdr>
          <w:top w:color="auto" w:space="0" w:sz="0" w:val="none"/>
          <w:left w:color="auto" w:space="0" w:sz="0" w:val="none"/>
          <w:bottom w:color="auto" w:space="0" w:sz="0" w:val="none"/>
          <w:right w:color="auto" w:space="0" w:sz="0" w:val="none"/>
          <w:between w:color="auto" w:space="0" w:sz="0" w:val="none"/>
        </w:pBdr>
        <w:shd w:fill="ffffff" w:val="clear"/>
        <w:spacing w:after="30" w:before="30" w:line="240" w:lineRule="auto"/>
        <w:ind w:left="226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Ainda que parte das vítimas dos crimes de estupro seja do sexo masculino (...) o crime permanece atravessado por relações de poder, dominação e gênero. Isso porque, mesmo nos casos em que a vítima não é do sexo feminino, a prática do estupro reproduz lógicas de humilhação, violação e exercício de controle sobre corpos percebidos como vulneráveis. É possível, ainda, que esse percentual masculino esteja subdimensionado, considerando as barreiras sociais e simbólicas que dificultam a denúncia por meninos e homens. Nesse sentido, o estupro não é apenas um ato sexual forçado, mas uma estratégia de imposição de força que opera dentro de uma cultura ainda fortemente hierarquizada em termos de gênero, raça, idade e autoridade (FBSP, 2025, p. 179). </w:t>
      </w:r>
    </w:p>
    <w:p w:rsidR="00000000" w:rsidDel="00000000" w:rsidP="00000000" w:rsidRDefault="00000000" w:rsidRPr="00000000" w14:paraId="00000162">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contexto do estado do Rio de Janeiro, entre 2023 e 2024, o Fórum registrou um aumento de 248 casos registrados de Estupro de Vulnerável, com o número final de 4.084 no último ano – no ano de 2023 houve uma queda dos casos notificados com relação a 2022, mas no ano seguinte os números voltaram a subir; e o aumento de 262 para 321 casos na tabela relativa à Tentativa de Estupro de Vulnerável. Em se tratando da localidade do Rio de Janeiro, não há dados que ajudem a traçar os perfis das vítimas e/ou dos agressores, aparecendo apenas o quantitativo de casos do estado, subentendendo que o perfil nacional se encaixaria à realidade fluminense. Não há uma particularização dos dados de forma mais detalhada. Inclusive, tanto a nível nacional quanto regional, não foram identificados aspectos socioeconômicos que ajudassem a entender a conjuntura dessas famílias.</w:t>
      </w:r>
    </w:p>
    <w:p w:rsidR="00000000" w:rsidDel="00000000" w:rsidP="00000000" w:rsidRDefault="00000000" w:rsidRPr="00000000" w14:paraId="00000163">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Reiterando que esses números se referem a casos oficializados – denunciados – em sedes dos governos municipais, estaduais e federais, como Conselhos Tutelares e Delegacias, contudo, o cenário que se apresenta atualmente não é promissor para a continuidade dessas denúncias, indo de encontro ao conservadorismo.</w:t>
      </w:r>
    </w:p>
    <w:p w:rsidR="00000000" w:rsidDel="00000000" w:rsidP="00000000" w:rsidRDefault="00000000" w:rsidRPr="00000000" w14:paraId="00000164">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Dos casos de estupro de vulnerável mais grave, há o risco de a criança ou do adolescente desenvolver IST – ao que existe o amparo legal através da Lei do Minuto Seguinte (lei nº 12.845/2013), que determina que as vítimas devem receber dos hospitais atendimento emergencial, integral e multidisciplinar com acolhimento da demanda e orientações médicas e legais para que se minimizem os impactos da violência sofrida</w:t>
      </w:r>
      <w:r w:rsidDel="00000000" w:rsidR="00000000" w:rsidRPr="00000000">
        <w:rPr>
          <w:rFonts w:ascii="Times New Roman" w:cs="Times New Roman" w:eastAsia="Times New Roman" w:hAnsi="Times New Roman"/>
          <w:sz w:val="26"/>
          <w:szCs w:val="26"/>
          <w:vertAlign w:val="superscript"/>
        </w:rPr>
        <w:footnoteReference w:customMarkFollows="0" w:id="13"/>
      </w:r>
      <w:r w:rsidDel="00000000" w:rsidR="00000000" w:rsidRPr="00000000">
        <w:rPr>
          <w:rFonts w:ascii="Times New Roman" w:cs="Times New Roman" w:eastAsia="Times New Roman" w:hAnsi="Times New Roman"/>
          <w:sz w:val="24"/>
          <w:szCs w:val="24"/>
          <w:rtl w:val="0"/>
        </w:rPr>
        <w:t xml:space="preserve"> - ou mesmo uma gravidez. Neste último caso em específico, de acordo com a Resolução emitida pelo Conselho Nacional dos Direitos da Criança e do Adolescente – CONANDA - em 2024, de nº 258, a vítima criança ou adolescente tem direito ao Aborto Legal; entretanto, há um Projeto de Decreto Legislativo – PDL –, de cunho conservador aprovado pela Câmara dos Deputados no início de novembro deste ano de 2025 que visa dificultar o acesso a este direito, conhecido como “PDL da Pedofilia”</w:t>
      </w:r>
      <w:r w:rsidDel="00000000" w:rsidR="00000000" w:rsidRPr="00000000">
        <w:rPr>
          <w:rFonts w:ascii="Times New Roman" w:cs="Times New Roman" w:eastAsia="Times New Roman" w:hAnsi="Times New Roman"/>
          <w:sz w:val="26"/>
          <w:szCs w:val="26"/>
          <w:vertAlign w:val="superscript"/>
        </w:rPr>
        <w:footnoteReference w:customMarkFollows="0" w:id="14"/>
      </w:r>
      <w:r w:rsidDel="00000000" w:rsidR="00000000" w:rsidRPr="00000000">
        <w:rPr>
          <w:rFonts w:ascii="Times New Roman" w:cs="Times New Roman" w:eastAsia="Times New Roman" w:hAnsi="Times New Roman"/>
          <w:sz w:val="24"/>
          <w:szCs w:val="24"/>
          <w:rtl w:val="0"/>
        </w:rPr>
        <w:t xml:space="preserve">. Em vista disso, “(...) o cenário é de agravamento generalizado, exigindo atenção redobrada das políticas públicas e do sistema de justiça” (FBSP, 2025, p. 177). </w:t>
      </w:r>
    </w:p>
    <w:p w:rsidR="00000000" w:rsidDel="00000000" w:rsidP="00000000" w:rsidRDefault="00000000" w:rsidRPr="00000000" w14:paraId="00000165">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7dk2zd5a2pt2" w:id="24"/>
      <w:bookmarkEnd w:id="24"/>
      <w:r w:rsidDel="00000000" w:rsidR="00000000" w:rsidRPr="00000000">
        <w:rPr>
          <w:rtl w:val="0"/>
        </w:rPr>
      </w:r>
    </w:p>
    <w:p w:rsidR="00000000" w:rsidDel="00000000" w:rsidP="00000000" w:rsidRDefault="00000000" w:rsidRPr="00000000" w14:paraId="00000166">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wlga82g8hbwt" w:id="25"/>
      <w:bookmarkEnd w:id="25"/>
      <w:r w:rsidDel="00000000" w:rsidR="00000000" w:rsidRPr="00000000">
        <w:rPr>
          <w:rtl w:val="0"/>
        </w:rPr>
      </w:r>
    </w:p>
    <w:p w:rsidR="00000000" w:rsidDel="00000000" w:rsidP="00000000" w:rsidRDefault="00000000" w:rsidRPr="00000000" w14:paraId="00000167">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qdhs0h6x1bcc" w:id="26"/>
      <w:bookmarkEnd w:id="26"/>
      <w:r w:rsidDel="00000000" w:rsidR="00000000" w:rsidRPr="00000000">
        <w:rPr>
          <w:rtl w:val="0"/>
        </w:rPr>
      </w:r>
    </w:p>
    <w:p w:rsidR="00000000" w:rsidDel="00000000" w:rsidP="00000000" w:rsidRDefault="00000000" w:rsidRPr="00000000" w14:paraId="00000168">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rj0qd5qatqks" w:id="27"/>
      <w:bookmarkEnd w:id="27"/>
      <w:r w:rsidDel="00000000" w:rsidR="00000000" w:rsidRPr="00000000">
        <w:rPr>
          <w:rtl w:val="0"/>
        </w:rPr>
      </w:r>
    </w:p>
    <w:p w:rsidR="00000000" w:rsidDel="00000000" w:rsidP="00000000" w:rsidRDefault="00000000" w:rsidRPr="00000000" w14:paraId="00000169">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wgltpeksdqwk" w:id="28"/>
      <w:bookmarkEnd w:id="28"/>
      <w:r w:rsidDel="00000000" w:rsidR="00000000" w:rsidRPr="00000000">
        <w:rPr>
          <w:rtl w:val="0"/>
        </w:rPr>
      </w:r>
    </w:p>
    <w:p w:rsidR="00000000" w:rsidDel="00000000" w:rsidP="00000000" w:rsidRDefault="00000000" w:rsidRPr="00000000" w14:paraId="0000016A">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4y2j0hksk4a" w:id="29"/>
      <w:bookmarkEnd w:id="29"/>
      <w:r w:rsidDel="00000000" w:rsidR="00000000" w:rsidRPr="00000000">
        <w:rPr>
          <w:rtl w:val="0"/>
        </w:rPr>
      </w:r>
    </w:p>
    <w:p w:rsidR="00000000" w:rsidDel="00000000" w:rsidP="00000000" w:rsidRDefault="00000000" w:rsidRPr="00000000" w14:paraId="0000016B">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ixj26e5ewdnw" w:id="30"/>
      <w:bookmarkEnd w:id="30"/>
      <w:r w:rsidDel="00000000" w:rsidR="00000000" w:rsidRPr="00000000">
        <w:rPr>
          <w:rtl w:val="0"/>
        </w:rPr>
      </w:r>
    </w:p>
    <w:p w:rsidR="00000000" w:rsidDel="00000000" w:rsidP="00000000" w:rsidRDefault="00000000" w:rsidRPr="00000000" w14:paraId="0000016C">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jksvtewq2159" w:id="31"/>
      <w:bookmarkEnd w:id="31"/>
      <w:r w:rsidDel="00000000" w:rsidR="00000000" w:rsidRPr="00000000">
        <w:rPr>
          <w:rtl w:val="0"/>
        </w:rPr>
      </w:r>
    </w:p>
    <w:p w:rsidR="00000000" w:rsidDel="00000000" w:rsidP="00000000" w:rsidRDefault="00000000" w:rsidRPr="00000000" w14:paraId="0000016D">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qz19xwjmvazf" w:id="32"/>
      <w:bookmarkEnd w:id="32"/>
      <w:r w:rsidDel="00000000" w:rsidR="00000000" w:rsidRPr="00000000">
        <w:rPr>
          <w:rtl w:val="0"/>
        </w:rPr>
      </w:r>
    </w:p>
    <w:p w:rsidR="00000000" w:rsidDel="00000000" w:rsidP="00000000" w:rsidRDefault="00000000" w:rsidRPr="00000000" w14:paraId="0000016E">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kerg8ckcc0a5" w:id="33"/>
      <w:bookmarkEnd w:id="33"/>
      <w:r w:rsidDel="00000000" w:rsidR="00000000" w:rsidRPr="00000000">
        <w:rPr>
          <w:rtl w:val="0"/>
        </w:rPr>
      </w:r>
    </w:p>
    <w:p w:rsidR="00000000" w:rsidDel="00000000" w:rsidP="00000000" w:rsidRDefault="00000000" w:rsidRPr="00000000" w14:paraId="0000016F">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bgrglnvrc9uu" w:id="34"/>
      <w:bookmarkEnd w:id="34"/>
      <w:r w:rsidDel="00000000" w:rsidR="00000000" w:rsidRPr="00000000">
        <w:rPr>
          <w:rtl w:val="0"/>
        </w:rPr>
      </w:r>
    </w:p>
    <w:p w:rsidR="00000000" w:rsidDel="00000000" w:rsidP="00000000" w:rsidRDefault="00000000" w:rsidRPr="00000000" w14:paraId="00000170">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h8gireybjgn1" w:id="35"/>
      <w:bookmarkEnd w:id="35"/>
      <w:r w:rsidDel="00000000" w:rsidR="00000000" w:rsidRPr="00000000">
        <w:rPr>
          <w:rtl w:val="0"/>
        </w:rPr>
      </w:r>
    </w:p>
    <w:p w:rsidR="00000000" w:rsidDel="00000000" w:rsidP="00000000" w:rsidRDefault="00000000" w:rsidRPr="00000000" w14:paraId="00000171">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a7hg4yj4wmib" w:id="36"/>
      <w:bookmarkEnd w:id="36"/>
      <w:r w:rsidDel="00000000" w:rsidR="00000000" w:rsidRPr="00000000">
        <w:rPr>
          <w:rtl w:val="0"/>
        </w:rPr>
      </w:r>
    </w:p>
    <w:p w:rsidR="00000000" w:rsidDel="00000000" w:rsidP="00000000" w:rsidRDefault="00000000" w:rsidRPr="00000000" w14:paraId="00000172">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2rhb6r640fck" w:id="37"/>
      <w:bookmarkEnd w:id="37"/>
      <w:r w:rsidDel="00000000" w:rsidR="00000000" w:rsidRPr="00000000">
        <w:rPr>
          <w:rtl w:val="0"/>
        </w:rPr>
      </w:r>
    </w:p>
    <w:p w:rsidR="00000000" w:rsidDel="00000000" w:rsidP="00000000" w:rsidRDefault="00000000" w:rsidRPr="00000000" w14:paraId="00000173">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2v18vjiiz25" w:id="38"/>
      <w:bookmarkEnd w:id="38"/>
      <w:r w:rsidDel="00000000" w:rsidR="00000000" w:rsidRPr="00000000">
        <w:rPr>
          <w:rtl w:val="0"/>
        </w:rPr>
      </w:r>
    </w:p>
    <w:p w:rsidR="00000000" w:rsidDel="00000000" w:rsidP="00000000" w:rsidRDefault="00000000" w:rsidRPr="00000000" w14:paraId="00000174">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hdopmpgxp6b1" w:id="39"/>
      <w:bookmarkEnd w:id="39"/>
      <w:r w:rsidDel="00000000" w:rsidR="00000000" w:rsidRPr="00000000">
        <w:rPr>
          <w:rtl w:val="0"/>
        </w:rPr>
      </w:r>
    </w:p>
    <w:p w:rsidR="00000000" w:rsidDel="00000000" w:rsidP="00000000" w:rsidRDefault="00000000" w:rsidRPr="00000000" w14:paraId="00000175">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left"/>
        <w:rPr/>
      </w:pPr>
      <w:bookmarkStart w:colFirst="0" w:colLast="0" w:name="_if5kwyti4ydh" w:id="40"/>
      <w:bookmarkEnd w:id="40"/>
      <w:r w:rsidDel="00000000" w:rsidR="00000000" w:rsidRPr="00000000">
        <w:rPr>
          <w:rtl w:val="0"/>
        </w:rPr>
      </w:r>
    </w:p>
    <w:p w:rsidR="00000000" w:rsidDel="00000000" w:rsidP="00000000" w:rsidRDefault="00000000" w:rsidRPr="00000000" w14:paraId="00000176">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left"/>
        <w:rPr/>
      </w:pPr>
      <w:bookmarkStart w:colFirst="0" w:colLast="0" w:name="_eh0lc4hoa5fn" w:id="41"/>
      <w:bookmarkEnd w:id="41"/>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center"/>
        <w:rPr/>
      </w:pPr>
      <w:bookmarkStart w:colFirst="0" w:colLast="0" w:name="_659p88mxrijk" w:id="42"/>
      <w:bookmarkEnd w:id="42"/>
      <w:r w:rsidDel="00000000" w:rsidR="00000000" w:rsidRPr="00000000">
        <w:rPr>
          <w:rtl w:val="0"/>
        </w:rPr>
        <w:t xml:space="preserve">5. VIOLÊNCIA SEXUAL INTRAFAMILIAR: A RESPONSABILIZAÇÃO DO ESTADO E DA SOCIEDADE CIVIL </w:t>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Destarte, vimos que o Estupro de Vulnerável no âmbito intrafamiliar é uma violência complexa, oculta e imerso em aspectos sócio-históricos e culturais, assim como repleto de atores envolvidos. Mas então, a quem cabe a responsabilização por esta violência que persiste? Sua complexidade é tamanha que responsabilizar apenas uma categoria poderia ser considerado injusto. Olhando o local em que ocorre esta violência, há quem diga que a responsabilização recai sobre a família, afinal, eles poderiam ser os responsáveis por identificar a ocorrência dela e, sem essa identificação, não haveria como recorrer aos poderes públicos. Mas em que sentido o poder público poderia contribuir para a prevenção e combate da violação?</w:t>
      </w:r>
    </w:p>
    <w:p w:rsidR="00000000" w:rsidDel="00000000" w:rsidP="00000000" w:rsidRDefault="00000000" w:rsidRPr="00000000" w14:paraId="0000017B">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podermos compreender e reivindicar a atuação dos responsáveis, é necessário que se entenda o contexto legal que baseia o sistema de proteção à essas vítimas. Primordialmente, temos a Constituição Federal – CF brasileira, promulgada em 1988, que em seu artigo 227 estabelece que </w:t>
      </w:r>
    </w:p>
    <w:p w:rsidR="00000000" w:rsidDel="00000000" w:rsidP="00000000" w:rsidRDefault="00000000" w:rsidRPr="00000000" w14:paraId="0000017C">
      <w:pPr>
        <w:pBdr>
          <w:top w:color="auto" w:space="0" w:sz="0" w:val="none"/>
          <w:left w:color="auto" w:space="0" w:sz="0" w:val="none"/>
          <w:bottom w:color="auto" w:space="0" w:sz="0" w:val="none"/>
          <w:right w:color="auto" w:space="0" w:sz="0" w:val="none"/>
          <w:between w:color="auto" w:space="0" w:sz="0" w:val="none"/>
        </w:pBdr>
        <w:shd w:fill="ffffff" w:val="clear"/>
        <w:spacing w:after="30" w:before="30" w:line="240" w:lineRule="auto"/>
        <w:ind w:left="226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É dever da família, da sociedade e do Estado assegurar à criança, ao adolescente e ao jovem, com absoluta prioridade, o direito à vida, à saúde, à alimentação, à educação, ao lazer, à profissionalização, à cultura, à dignidade, ao respeito, à liberdade e à convivência familiar e comunitária, além de colocá-los a salvo de toda forma de negligência, discriminação, exploração, violência, crueldade e opressão (Brasil, 2016). </w:t>
      </w:r>
    </w:p>
    <w:p w:rsidR="00000000" w:rsidDel="00000000" w:rsidP="00000000" w:rsidRDefault="00000000" w:rsidRPr="00000000" w14:paraId="0000017D">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uma vez que estamos falando de um grupo específico, temos o Estatuto da Criança e do Adolescente – ECA, disposto pela lei de nº 8.069 (Brasil, 1990), que em seu art. 4 vai assegurar, </w:t>
      </w:r>
      <w:r w:rsidDel="00000000" w:rsidR="00000000" w:rsidRPr="00000000">
        <w:rPr>
          <w:rFonts w:ascii="Times New Roman" w:cs="Times New Roman" w:eastAsia="Times New Roman" w:hAnsi="Times New Roman"/>
          <w:b w:val="1"/>
          <w:bCs w:val="1"/>
          <w:sz w:val="24"/>
          <w:szCs w:val="24"/>
          <w:rtl w:val="0"/>
        </w:rPr>
        <w:t xml:space="preserve">com absoluta prioridade</w:t>
      </w:r>
      <w:r w:rsidDel="00000000" w:rsidR="00000000" w:rsidRPr="00000000">
        <w:rPr>
          <w:rFonts w:ascii="Times New Roman" w:cs="Times New Roman" w:eastAsia="Times New Roman" w:hAnsi="Times New Roman"/>
          <w:sz w:val="24"/>
          <w:szCs w:val="24"/>
          <w:rtl w:val="0"/>
        </w:rPr>
        <w:t xml:space="preserve">, a efetivação desses direitos previstos na Carta Magna; mas não se restringe somente a este artigo, sendo previstos direitos e amparos por artigos como o 3, 5, 11 (em seu inciso - § - 3º), 13 (§ 2º), 15 ou 18 (Ministério da Mulher, da Família e dos Direitos Humanos - MMFDH; CONANDA, 2021), por exemplo. </w:t>
      </w:r>
    </w:p>
    <w:p w:rsidR="00000000" w:rsidDel="00000000" w:rsidP="00000000" w:rsidRDefault="00000000" w:rsidRPr="00000000" w14:paraId="0000017E">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maneira mais específica, o crime de Estupro está descrito no art. 213 do Código Penal brasileiro - Decreto-Lei nº 2.848/1940 (Brasil, 1940) - tendo por base o ato libidinoso</w:t>
      </w:r>
      <w:r w:rsidDel="00000000" w:rsidR="00000000" w:rsidRPr="00000000">
        <w:rPr>
          <w:rFonts w:ascii="Times New Roman" w:cs="Times New Roman" w:eastAsia="Times New Roman" w:hAnsi="Times New Roman"/>
          <w:sz w:val="24"/>
          <w:szCs w:val="24"/>
          <w:vertAlign w:val="superscript"/>
        </w:rPr>
        <w:footnoteReference w:customMarkFollows="0" w:id="15"/>
      </w:r>
      <w:r w:rsidDel="00000000" w:rsidR="00000000" w:rsidRPr="00000000">
        <w:rPr>
          <w:rFonts w:ascii="Times New Roman" w:cs="Times New Roman" w:eastAsia="Times New Roman" w:hAnsi="Times New Roman"/>
          <w:sz w:val="24"/>
          <w:szCs w:val="24"/>
          <w:rtl w:val="0"/>
        </w:rPr>
        <w:t xml:space="preserve"> não consentido; já o Estupro de Vulnerável está previsto no art. 217-A, incluído pela Lei nº 12.015 de 2009 (Brasil, 2009), e se diferencia do artigo tratado anteriormente em matéria de consentimento – levando em consideração aspectos como idade (menores de 14 anos) ou pessoas (inclusive adultos, neste caso) com enfermidade ou deficiência mental. </w:t>
      </w:r>
    </w:p>
    <w:p w:rsidR="00000000" w:rsidDel="00000000" w:rsidP="00000000" w:rsidRDefault="00000000" w:rsidRPr="00000000" w14:paraId="0000017F">
      <w:pPr>
        <w:pBdr>
          <w:top w:color="auto" w:space="0" w:sz="0" w:val="none"/>
          <w:left w:color="auto" w:space="0" w:sz="0" w:val="none"/>
          <w:bottom w:color="auto" w:space="0" w:sz="0" w:val="none"/>
          <w:right w:color="auto" w:space="0" w:sz="0" w:val="none"/>
          <w:between w:color="auto" w:space="0" w:sz="0" w:val="none"/>
        </w:pBdr>
        <w:shd w:fill="ffffff" w:val="clear"/>
        <w:spacing w:after="30" w:before="30" w:line="240" w:lineRule="auto"/>
        <w:ind w:left="226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Assim, enquanto o estupro (art. 213) se caracteriza por um ato praticado com violência ou grave ameaça, o estupro de vulnerável está fundamentado na incapacidade da vítima de consentir. Nesses casos, o ato sexual é considerado criminoso independentemente do uso de força física ou coação, justamente porque a vítima - por sua condição - não possui discernimento suficiente para consentir de forma válida (FBSP, 2025, p. 178). </w:t>
      </w:r>
    </w:p>
    <w:p w:rsidR="00000000" w:rsidDel="00000000" w:rsidP="00000000" w:rsidRDefault="00000000" w:rsidRPr="00000000" w14:paraId="00000180">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Assim, podemos afirmar que a violação desta natureza trata-se, pois, de uma transgressão aos direitos da infância e juventude e a sua prevenção está prevista em um sistema de garantia de direitos. No entanto, o Estado é uma máquina, com incontáveis engrenagens que precisam girar juntas para que haja a efetivação desse sistema, com isso resta a falha do Estado como provedor de políticas públicas e segurança, pois o cenário atual mostra a deterioração de espaços públicos que estão circunscritos à essas legislações com o papel de cumprir o que se dita legalmente.</w:t>
      </w:r>
    </w:p>
    <w:p w:rsidR="00000000" w:rsidDel="00000000" w:rsidP="00000000" w:rsidRDefault="00000000" w:rsidRPr="00000000" w14:paraId="00000181">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existência de um sustento legal não coíbe a ação violenta - principalmente se, aqueles que são denunciados, seguem impunes por falta de provas. Neste sentido, há no âmbito do Poder Judiciário a prática do “Depoimento Especial – DE" (outrora, Depoimento Sem Dano – DSD), que utiliza o relato da vítima como prova levando em consideração que a palavra dela possui especial relevância e é “colhido” em condições excepcionais, sem o encontro de agressor-vítima durante a audiência. Este dispositivo é regulamentado pela Lei 13.431/2017 (Brasil, 2017) em seu artigo 4, inciso 1º - que traz também a disposição sobre a criação de mecanismos preventivos e combativos à violência, asseverando os seus direitos inerentes à pessoa humana, de forma a preservar e garantir "(...) sua saúde física e mental e seu desenvolvimento moral, intelectual e social(...)" (</w:t>
      </w:r>
      <w:r w:rsidDel="00000000" w:rsidR="00000000" w:rsidRPr="00000000">
        <w:rPr>
          <w:rFonts w:ascii="Times New Roman" w:cs="Times New Roman" w:eastAsia="Times New Roman" w:hAnsi="Times New Roman"/>
          <w:i w:val="1"/>
          <w:iCs w:val="1"/>
          <w:sz w:val="24"/>
          <w:szCs w:val="24"/>
          <w:rtl w:val="0"/>
        </w:rPr>
        <w:t xml:space="preserve">ibid.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através do desenvolvimento de políticas públicas integradas e coordenadas pela União, pelos Estados, pelo Distrito Federal e pelos Municípios, além de considerar a violência sexual como crime hediondo</w:t>
      </w:r>
      <w:r w:rsidDel="00000000" w:rsidR="00000000" w:rsidRPr="00000000">
        <w:rPr>
          <w:rFonts w:ascii="Times New Roman" w:cs="Times New Roman" w:eastAsia="Times New Roman" w:hAnsi="Times New Roman"/>
          <w:sz w:val="24"/>
          <w:szCs w:val="24"/>
          <w:vertAlign w:val="superscript"/>
        </w:rPr>
        <w:footnoteReference w:customMarkFollows="0" w:id="16"/>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82">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Todavia, há controvérsias na categoria profissional do Serviço Social quanto a utilização das assistentes sociais nesta “entrevista” com a vítima, pois há a preocupação na revivência do trauma, gerando a revitimização - e, em consequência, a vítima novamente é violada</w:t>
      </w:r>
      <w:r w:rsidDel="00000000" w:rsidR="00000000" w:rsidRPr="00000000">
        <w:rPr>
          <w:rFonts w:ascii="Times New Roman" w:cs="Times New Roman" w:eastAsia="Times New Roman" w:hAnsi="Times New Roman"/>
          <w:sz w:val="26"/>
          <w:szCs w:val="26"/>
          <w:vertAlign w:val="superscript"/>
        </w:rPr>
        <w:footnoteReference w:customMarkFollows="0" w:id="17"/>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3">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Antes de prosseguirmos, cabe um adendo às especificidades da profissão do Serviço Social enquanto categoria que lida diretamente com a demanda da violência sexual contra crianças e adolescentes no espaços sócio-ocupacionais em que está inserida. A profissional que recebe esta demanda precisa agir de forma a não ferir os princípios fundamentais do Serviço Social, orientada pela Lei 8.662/93 - Código de Ética, sempre considerando a “defesa intransigente dos direitos humanos” e zelando pelo “compromisso com a qualidade dos serviços prestados à população” (Brasil, 2012), abstendo-se dos preconceitos sociais inerentes ao indivíduo e se portando de maneira a dar respostas concretas à necessidade do usuário, sujeito de uma violação, para que não haja a revitimização. </w:t>
      </w:r>
    </w:p>
    <w:p w:rsidR="00000000" w:rsidDel="00000000" w:rsidP="00000000" w:rsidRDefault="00000000" w:rsidRPr="00000000" w14:paraId="00000184">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Dessa forma, compete ao Estado a fiscalização dos serviços de entrada dessa demanda - como o Centro de Referência Especializado de Assistência Social (CREAS), os Conselhos Tutelares (CT), as delegacias, as instituições de serviços de saúde - e aos profissionais o acolhimento qualificado para que não ocorra uma violência institucional, mas também cabe à sociedade – e especialmente à família - identificar os sinais, dar credibilidade à palavra da vítima e denunciar o agressor aos órgãos competentes, à medida que “(...) ela não é apenas uma construção privada, mas também pública e tem um papel importante na estruturação da sociedade em seus aspectos sociais, políticos e econômicos” (Mioto, Campos e Lima, 2006). </w:t>
      </w:r>
    </w:p>
    <w:p w:rsidR="00000000" w:rsidDel="00000000" w:rsidP="00000000" w:rsidRDefault="00000000" w:rsidRPr="00000000" w14:paraId="00000185">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Outro ator importante na prevenção e combate são as instituições de ensino – especialmente o Ensino Fundamental -, que podem ser tanto locais de identificação quanto de perpetração da violência sexual contra este público - dessa forma, há previsão legal para proteção das crianças e dos adolescentes neste espaço através da Lei 14.811/2024, que “institui as medidas de proteção à criança e ao adolescente contra a violência nos estabelecimentos educacionais ou similares e prevê a Política Nacional de Prevenção e Combate ao Abuso e Exploração Sexual da Criança e do Adolescente” (Brasil, 2014).</w:t>
      </w:r>
    </w:p>
    <w:p w:rsidR="00000000" w:rsidDel="00000000" w:rsidP="00000000" w:rsidRDefault="00000000" w:rsidRPr="00000000" w14:paraId="00000186">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 importante que haja profissionais capacitados para a identificação e encaminhamento dos casos aos setores responsáveis - inclusive, há previsão legal da existência de equipes interdisciplinares (Serviço Social e Psicologia) nas redes públicas da educação básica, conforme Lei nº 13.935/2019 (Brasil, 2019), contudo são poucas unidades a possuírem a referida equipe atuante; fora as ações educativas com os infantes - através de dinâmicas e conversas apropriadas à faixa etária - e com os responsáveis - para que eles saibam reconhecer os sinais de alerta.</w:t>
      </w:r>
    </w:p>
    <w:p w:rsidR="00000000" w:rsidDel="00000000" w:rsidP="00000000" w:rsidRDefault="00000000" w:rsidRPr="00000000" w14:paraId="00000187">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Nesta finalidade educativa, o Governo Federal instituiu em 2022, por meio da Lei nº 14.432 (Brasil, 2022), a campanha nacional do </w:t>
      </w:r>
      <w:r w:rsidDel="00000000" w:rsidR="00000000" w:rsidRPr="00000000">
        <w:rPr>
          <w:rFonts w:ascii="Times New Roman" w:cs="Times New Roman" w:eastAsia="Times New Roman" w:hAnsi="Times New Roman"/>
          <w:sz w:val="24"/>
          <w:szCs w:val="24"/>
          <w:rtl w:val="0"/>
        </w:rPr>
        <w:t xml:space="preserve">Maio</w:t>
      </w:r>
      <w:r w:rsidDel="00000000" w:rsidR="00000000" w:rsidRPr="00000000">
        <w:rPr>
          <w:rFonts w:ascii="Times New Roman" w:cs="Times New Roman" w:eastAsia="Times New Roman" w:hAnsi="Times New Roman"/>
          <w:sz w:val="24"/>
          <w:szCs w:val="24"/>
          <w:rtl w:val="0"/>
        </w:rPr>
        <w:t xml:space="preserve"> Laranja que, anualmente, marca o dia 18 de maio - Dia Nacional de Combate ao Abuso e à Exploração Sexual de Crianças e Adolescentes</w:t>
      </w:r>
      <w:r w:rsidDel="00000000" w:rsidR="00000000" w:rsidRPr="00000000">
        <w:rPr>
          <w:rFonts w:ascii="Times New Roman" w:cs="Times New Roman" w:eastAsia="Times New Roman" w:hAnsi="Times New Roman"/>
          <w:sz w:val="24"/>
          <w:szCs w:val="24"/>
          <w:vertAlign w:val="superscript"/>
        </w:rPr>
        <w:footnoteReference w:customMarkFollows="0" w:id="18"/>
      </w:r>
      <w:r w:rsidDel="00000000" w:rsidR="00000000" w:rsidRPr="00000000">
        <w:rPr>
          <w:rFonts w:ascii="Times New Roman" w:cs="Times New Roman" w:eastAsia="Times New Roman" w:hAnsi="Times New Roman"/>
          <w:sz w:val="24"/>
          <w:szCs w:val="24"/>
          <w:rtl w:val="0"/>
        </w:rPr>
        <w:t xml:space="preserve"> - com ações informativas a fim de conscientizar a população sobre a importância da temática para a prevenção e combate.</w:t>
      </w:r>
    </w:p>
    <w:p w:rsidR="00000000" w:rsidDel="00000000" w:rsidP="00000000" w:rsidRDefault="00000000" w:rsidRPr="00000000" w14:paraId="00000188">
      <w:pPr>
        <w:pBdr>
          <w:top w:color="auto" w:space="0" w:sz="0" w:val="none"/>
          <w:left w:color="auto" w:space="0" w:sz="0" w:val="none"/>
          <w:bottom w:color="auto" w:space="0" w:sz="0" w:val="none"/>
          <w:right w:color="auto" w:space="0" w:sz="0" w:val="none"/>
          <w:between w:color="auto" w:space="0" w:sz="0" w:val="none"/>
        </w:pBdr>
        <w:shd w:fill="ffffff" w:val="clear"/>
        <w:spacing w:after="30" w:before="30" w:line="240" w:lineRule="auto"/>
        <w:ind w:left="226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Este é um problema cujo enfrentamento necessariamente exige uma combinação de estratégias que vão desde a prevenção - com uma educação que possibilite às pessoas, desde a infância, reconhecer um ato de abuso sexual de fato como violência - até a garantia de investigação qualificada, maior celeridade nos processos judiciais e a efetiva responsabilização dos agressores (FBSP, 2025, p. 177).</w:t>
      </w:r>
    </w:p>
    <w:p w:rsidR="00000000" w:rsidDel="00000000" w:rsidP="00000000" w:rsidRDefault="00000000" w:rsidRPr="00000000" w14:paraId="00000189">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Portanto, também somos responsáveis enquanto integrantes de uma sociedade civil regida por uma legislação extensa que, apesar de por vezes caminhar na regressão de direitos, ainda assim possui elementos o suficiente para que seja possível o controle e, até mesmo, a prevenção da prática. “A violência pode ser evitada e seu impacto minimizado (...)” (OMS, 2002). </w:t>
      </w:r>
    </w:p>
    <w:p w:rsidR="00000000" w:rsidDel="00000000" w:rsidP="00000000" w:rsidRDefault="00000000" w:rsidRPr="00000000" w14:paraId="0000018A">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40" w:line="360" w:lineRule="auto"/>
        <w:jc w:val="center"/>
        <w:rPr/>
      </w:pPr>
      <w:bookmarkStart w:colFirst="0" w:colLast="0" w:name="_kbgg8vlx8fbp" w:id="43"/>
      <w:bookmarkEnd w:id="43"/>
      <w:r w:rsidDel="00000000" w:rsidR="00000000" w:rsidRPr="00000000">
        <w:rPr>
          <w:rtl w:val="0"/>
        </w:rPr>
      </w:r>
    </w:p>
    <w:p w:rsidR="00000000" w:rsidDel="00000000" w:rsidP="00000000" w:rsidRDefault="00000000" w:rsidRPr="00000000" w14:paraId="0000018B">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40" w:line="360" w:lineRule="auto"/>
        <w:jc w:val="center"/>
        <w:rPr/>
      </w:pPr>
      <w:bookmarkStart w:colFirst="0" w:colLast="0" w:name="_4tg4p9xp906b" w:id="44"/>
      <w:bookmarkEnd w:id="44"/>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40" w:line="360" w:lineRule="auto"/>
        <w:jc w:val="center"/>
        <w:rPr/>
      </w:pPr>
      <w:bookmarkStart w:colFirst="0" w:colLast="0" w:name="_2pugts69pma5" w:id="45"/>
      <w:bookmarkEnd w:id="45"/>
      <w:r w:rsidDel="00000000" w:rsidR="00000000" w:rsidRPr="00000000">
        <w:rPr>
          <w:rtl w:val="0"/>
        </w:rPr>
        <w:t xml:space="preserve">CONSIDERAÇÕES FINAIS  </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análises apresentadas ao longo deste trabalho evidenciam a complexidade da violência sexual intrafamiliar contra crianças e adolescentes, configurando-o como um fenômeno profundamente enraizado em estruturas sociais, culturais e históricas. A violência sexual, longe de ser um ato isolado ou fruto exclusivamente de impulsos individuais, está inserida em um contexto de desigualdades intergeracionais, de gênero, classe e etnia, atravessando relações de poder que privilegiam o adulto sobre o infante e o masculino sobre o feminino. Nesse sentido, percebemos que a violência intrafamiliar não se limita à dimensão física, mas manifesta-se também de forma psicológica, perpetuando a subordinação e a vulnerabilidade das crianças e adolescentes, muitas vezes de maneira silenciosa, invisível e normalizada socialmente. </w:t>
      </w:r>
    </w:p>
    <w:p w:rsidR="00000000" w:rsidDel="00000000" w:rsidP="00000000" w:rsidRDefault="00000000" w:rsidRPr="00000000" w14:paraId="0000019A">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investigação das fases da violência sexual intrafamiliar, conforme descrito por Medeiros (2013) - Envolvimento, Interação Sexual, Sigilo, Revelação e Supressão - demonstra a sofisticação das estratégias utilizadas pelos agressores para estabelecer controle sobre a vítima, incluindo manipulação emocional, ameaças e construção de uma falsa relação de confiança. Observamos que, em muitos casos, a prática abusiva se prolonga por meses ou anos, mantendo a vítima em uma posição de silêncio e medo, dificultando a denúncia e o acesso à justiça. Tal situação revela não apenas a vulnerabilidade das crianças e adolescentes, mas também a necessidade urgente de mecanismos de proteção mais eficazes, capazes de romper o ciclo de violência e garantir o acolhimento e a escuta qualificada das vítimas. </w:t>
      </w:r>
    </w:p>
    <w:p w:rsidR="00000000" w:rsidDel="00000000" w:rsidP="00000000" w:rsidRDefault="00000000" w:rsidRPr="00000000" w14:paraId="0000019B">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contexto nacional e regional, especialmente no estado do Rio de Janeiro, evidencia o caráter sistemático e estrutural desse problema. Dados recentes do Fórum Brasileiro de Segurança Pública (FBSP, 2024; 2025) indicam que a residência continua sendo o principal local de ocorrência da violência sexual contra crianças e adolescentes, com uma prevalência significativa de vítimas do sexo feminino, negras e em faixa etária de 10 a 13 anos, enquanto os agressores são, em sua maioria, familiares próximos. A análise desses indicadores mostra que o ambiente familiar, tradicionalmente percebido como espaço de proteção e cuidado, pode, paradoxalmente, constituir o cenário mais propício para a violação de direitos, devido à combinação de proximidade, autoridade do agressor e barreiras sociais à denúncia, como o medo de retaliação, a dependência econômica ou a vergonha associada à exposição do abuso. </w:t>
      </w:r>
    </w:p>
    <w:p w:rsidR="00000000" w:rsidDel="00000000" w:rsidP="00000000" w:rsidRDefault="00000000" w:rsidRPr="00000000" w14:paraId="0000019C">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apreciação do marco legal brasileiro revela avanços relevantes na proteção das crianças e adolescentes, incluindo a Constituição Federal de 1988, o Estatuto da Criança e do Adolescente (Lei nº 8.069/1990), o Código Penal - CP (arts. 213 e 217-A). Tais dispositivos estabelecem a responsabilização criminal dos agressores e mecanismos para resguardar a integridade das vítimas. No entanto, a efetividade dessas normas esbarra em limitações práticas, como a morosidade judicial, a política sucateamento de órgãos públicos, a subnotificação dos casos e a fragilidade do acompanhamento institucional, o que evidencia a necessidade de articulação entre diferentes setores da sociedade, do Estado e das famílias para garantir a proteção integral e efetiva. </w:t>
      </w:r>
    </w:p>
    <w:p w:rsidR="00000000" w:rsidDel="00000000" w:rsidP="00000000" w:rsidRDefault="00000000" w:rsidRPr="00000000" w14:paraId="0000019D">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atuação das profissões que lidam diretamente com a violência sexual, especialmente o Serviço Social, assume papel central nesse contexto. De acordo com o previsto no Código de Ética da profissão (Brasil, 2012), os representantes da categoria devem atuar de maneira ética, acolhedora e tecnicamente qualificada, zelando para que o atendimento não reproduza formas de violência institucional ou revitimização. A escuta qualificada e o reconhecimento da palavra da vítima são estratégias essenciais para fortalecer a confiança da criança ou adolescente e promover a efetividade das medidas de proteção. Simultaneamente, a educação em direitos, voltada desde a infância, torna-se um instrumento preventivo capaz de conscientizar a sociedade sobre a natureza violadora do abuso sexual e de reduzir a naturalização da subordinação de crianças, adolescentes e mulheres. </w:t>
      </w:r>
    </w:p>
    <w:p w:rsidR="00000000" w:rsidDel="00000000" w:rsidP="00000000" w:rsidRDefault="00000000" w:rsidRPr="00000000" w14:paraId="0000019E">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Observamos, ainda, que a perpetuação da violência sexual intrafamiliar está intimamente ligada a construções sociais patriarcais e conservadoras, que reforçam desigualdades de gênero e minam o reconhecimento da criança e do adolescente como sujeitos de direitos. A naturalização da autoridade masculina, a divisão sexual do trabalho e a subalternização feminina contribuem para a manutenção de um ambiente propício à violação de direitos. Nesse contexto, romper o ciclo de violência exige uma abordagem multifacetada, que inclua prevenção, educação, intervenção qualificada e responsabilização efetiva, sem desconsiderar os impactos sociais e econômicos que dificultam a denúncia e o acesso à justiça. </w:t>
      </w:r>
    </w:p>
    <w:p w:rsidR="00000000" w:rsidDel="00000000" w:rsidP="00000000" w:rsidRDefault="00000000" w:rsidRPr="00000000" w14:paraId="0000019F">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síntese, este trabalho reafirma que a violência sexual contra crianças e adolescentes no âmbito intrafamiliar é um problema estrutural, oculto e multifatorial, cuja superação depende da articulação entre leis eficazes, profissionais capacitados, famílias engajadas e sociedade civil conscientizada. A proteção integral das crianças e adolescentes, conforme preconizado pelo sistema de garantias de direitos, exige não apenas a atuação do Estado, mas também a transformação cultural que permita desconstruir a naturalização da dominação patriarcal, fortalecer a educação em direitos e promover uma cultura de prevenção e cuidado. Apesar da existência de dados atualizados sobre o tema, ainda conseguimos observar que há lacunas nos perfis trazidos pelas pesquisas, como a falta da abordagem de aspectos socioeconômicos das famílias e que a subnotificação ainda é um grande desafio posto; contudo, ainda assim, o fato de haverem pesquisas que definam e compartilhem os dados acerca dessa violação é de tamanha relevância, tendo em vista que a temática ainda é incômoda e tratada como tabu. A informação é transformadora.</w:t>
      </w:r>
    </w:p>
    <w:p w:rsidR="00000000" w:rsidDel="00000000" w:rsidP="00000000" w:rsidRDefault="00000000" w:rsidRPr="00000000" w14:paraId="000001A0">
      <w:pPr>
        <w:pBdr>
          <w:top w:color="auto" w:space="0" w:sz="0" w:val="none"/>
          <w:left w:color="auto" w:space="0" w:sz="0" w:val="none"/>
          <w:bottom w:color="auto" w:space="0" w:sz="0" w:val="none"/>
          <w:right w:color="auto" w:space="0" w:sz="0" w:val="none"/>
          <w:between w:color="auto" w:space="0" w:sz="0" w:val="none"/>
        </w:pBdr>
        <w:shd w:fill="ffffff" w:val="clea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Assim, é importante compreender que a violência sexual intrafamiliar não é inevitável; ao contrário, sua prevenção e enfrentamento são possíveis por meio da integração entre conhecimento científico, políticas públicas efetivas, responsabilidade social e compromisso ético na defesa dos direitos humanos, garantindo que crianças e adolescentes possam exercer plenamente seus direitos, crescer em segurança e desenvolver-se de maneira saudável e digna. </w:t>
      </w:r>
    </w:p>
    <w:p w:rsidR="00000000" w:rsidDel="00000000" w:rsidP="00000000" w:rsidRDefault="00000000" w:rsidRPr="00000000" w14:paraId="000001A1">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both"/>
        <w:rPr/>
      </w:pPr>
      <w:bookmarkStart w:colFirst="0" w:colLast="0" w:name="_rwk8b4n6pawo" w:id="46"/>
      <w:bookmarkEnd w:id="46"/>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jc w:val="both"/>
        <w:rPr/>
      </w:pPr>
      <w:bookmarkStart w:colFirst="0" w:colLast="0" w:name="_x5zpbdpmnhfd" w:id="47"/>
      <w:bookmarkEnd w:id="47"/>
      <w:r w:rsidDel="00000000" w:rsidR="00000000" w:rsidRPr="00000000">
        <w:rPr>
          <w:rtl w:val="0"/>
        </w:rPr>
        <w:t xml:space="preserve">REFERÊNCIAS BIBLIOGRÁFICAS</w:t>
      </w:r>
      <w:r w:rsidDel="00000000" w:rsidR="00000000" w:rsidRPr="00000000">
        <w:rPr>
          <w:rtl w:val="0"/>
        </w:rPr>
        <w:t xml:space="preserve"> </w:t>
      </w:r>
    </w:p>
    <w:p w:rsidR="00000000" w:rsidDel="00000000" w:rsidP="00000000" w:rsidRDefault="00000000" w:rsidRPr="00000000" w14:paraId="000001B5">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ÁLVARES, L. C; JOSÉ FILHO, M. O serviço social e o trabalho com famílias. </w:t>
      </w:r>
      <w:r w:rsidDel="00000000" w:rsidR="00000000" w:rsidRPr="00000000">
        <w:rPr>
          <w:rFonts w:ascii="Times New Roman" w:cs="Times New Roman" w:eastAsia="Times New Roman" w:hAnsi="Times New Roman"/>
          <w:b w:val="1"/>
          <w:bCs w:val="1"/>
          <w:sz w:val="24"/>
          <w:szCs w:val="24"/>
          <w:rtl w:val="0"/>
        </w:rPr>
        <w:t xml:space="preserve">Serviço Social &amp; Realidade</w:t>
      </w:r>
      <w:r w:rsidDel="00000000" w:rsidR="00000000" w:rsidRPr="00000000">
        <w:rPr>
          <w:rFonts w:ascii="Times New Roman" w:cs="Times New Roman" w:eastAsia="Times New Roman" w:hAnsi="Times New Roman"/>
          <w:sz w:val="24"/>
          <w:szCs w:val="24"/>
          <w:rtl w:val="0"/>
        </w:rPr>
        <w:t xml:space="preserve">, Franca, v. 17, n. 2, p. 9-26, 2008. </w:t>
      </w:r>
    </w:p>
    <w:p w:rsidR="00000000" w:rsidDel="00000000" w:rsidP="00000000" w:rsidRDefault="00000000" w:rsidRPr="00000000" w14:paraId="000001B6">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AMENDOLA, M. F. Violência Sexual Contra Criança. </w:t>
      </w:r>
      <w:r w:rsidDel="00000000" w:rsidR="00000000" w:rsidRPr="00000000">
        <w:rPr>
          <w:rFonts w:ascii="Times New Roman" w:cs="Times New Roman" w:eastAsia="Times New Roman" w:hAnsi="Times New Roman"/>
          <w:i w:val="1"/>
          <w:iCs w:val="1"/>
          <w:sz w:val="24"/>
          <w:szCs w:val="24"/>
          <w:rtl w:val="0"/>
        </w:rPr>
        <w:t xml:space="preserve">In</w:t>
      </w:r>
      <w:r w:rsidDel="00000000" w:rsidR="00000000" w:rsidRPr="00000000">
        <w:rPr>
          <w:rFonts w:ascii="Times New Roman" w:cs="Times New Roman" w:eastAsia="Times New Roman" w:hAnsi="Times New Roman"/>
          <w:sz w:val="24"/>
          <w:szCs w:val="24"/>
          <w:rtl w:val="0"/>
        </w:rPr>
        <w:t xml:space="preserve">: AMENDOLA, M. F. (org). </w:t>
      </w:r>
      <w:r w:rsidDel="00000000" w:rsidR="00000000" w:rsidRPr="00000000">
        <w:rPr>
          <w:rFonts w:ascii="Times New Roman" w:cs="Times New Roman" w:eastAsia="Times New Roman" w:hAnsi="Times New Roman"/>
          <w:b w:val="1"/>
          <w:bCs w:val="1"/>
          <w:sz w:val="24"/>
          <w:szCs w:val="24"/>
          <w:rtl w:val="0"/>
        </w:rPr>
        <w:t xml:space="preserve">Criança no labirinto das acusações: </w:t>
      </w:r>
      <w:r w:rsidDel="00000000" w:rsidR="00000000" w:rsidRPr="00000000">
        <w:rPr>
          <w:rFonts w:ascii="Times New Roman" w:cs="Times New Roman" w:eastAsia="Times New Roman" w:hAnsi="Times New Roman"/>
          <w:sz w:val="24"/>
          <w:szCs w:val="24"/>
          <w:rtl w:val="0"/>
        </w:rPr>
        <w:t xml:space="preserve">falsas alegações de abuso sexual. Curitiba: Juruá, 2009. </w:t>
      </w:r>
    </w:p>
    <w:p w:rsidR="00000000" w:rsidDel="00000000" w:rsidP="00000000" w:rsidRDefault="00000000" w:rsidRPr="00000000" w14:paraId="000001B7">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ARIÉS, P. </w:t>
      </w:r>
      <w:r w:rsidDel="00000000" w:rsidR="00000000" w:rsidRPr="00000000">
        <w:rPr>
          <w:rFonts w:ascii="Times New Roman" w:cs="Times New Roman" w:eastAsia="Times New Roman" w:hAnsi="Times New Roman"/>
          <w:b w:val="1"/>
          <w:bCs w:val="1"/>
          <w:sz w:val="24"/>
          <w:szCs w:val="24"/>
          <w:rtl w:val="0"/>
        </w:rPr>
        <w:t xml:space="preserve">História social da criança e da família</w:t>
      </w:r>
      <w:r w:rsidDel="00000000" w:rsidR="00000000" w:rsidRPr="00000000">
        <w:rPr>
          <w:rFonts w:ascii="Times New Roman" w:cs="Times New Roman" w:eastAsia="Times New Roman" w:hAnsi="Times New Roman"/>
          <w:sz w:val="24"/>
          <w:szCs w:val="24"/>
          <w:rtl w:val="0"/>
        </w:rPr>
        <w:t xml:space="preserve">. Rio de Janeiro: Editora Guanabara, 1986. </w:t>
      </w:r>
    </w:p>
    <w:p w:rsidR="00000000" w:rsidDel="00000000" w:rsidP="00000000" w:rsidRDefault="00000000" w:rsidRPr="00000000" w14:paraId="000001B8">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BATISTA, A. P. </w:t>
      </w:r>
      <w:r w:rsidDel="00000000" w:rsidR="00000000" w:rsidRPr="00000000">
        <w:rPr>
          <w:rFonts w:ascii="Times New Roman" w:cs="Times New Roman" w:eastAsia="Times New Roman" w:hAnsi="Times New Roman"/>
          <w:b w:val="1"/>
          <w:bCs w:val="1"/>
          <w:sz w:val="24"/>
          <w:szCs w:val="24"/>
          <w:rtl w:val="0"/>
        </w:rPr>
        <w:t xml:space="preserve">Abuso sexual infantil intrafamiliar: </w:t>
      </w:r>
      <w:r w:rsidDel="00000000" w:rsidR="00000000" w:rsidRPr="00000000">
        <w:rPr>
          <w:rFonts w:ascii="Times New Roman" w:cs="Times New Roman" w:eastAsia="Times New Roman" w:hAnsi="Times New Roman"/>
          <w:sz w:val="24"/>
          <w:szCs w:val="24"/>
          <w:rtl w:val="0"/>
        </w:rPr>
        <w:t xml:space="preserve">a subnotificação e os serviços de saúde. Rio de Janeiro: Universidade Estadual do Rio de Janeiro, 2009.</w:t>
      </w:r>
    </w:p>
    <w:p w:rsidR="00000000" w:rsidDel="00000000" w:rsidP="00000000" w:rsidRDefault="00000000" w:rsidRPr="00000000" w14:paraId="000001B9">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BOURDIEU, Pierre. </w:t>
      </w:r>
      <w:r w:rsidDel="00000000" w:rsidR="00000000" w:rsidRPr="00000000">
        <w:rPr>
          <w:rFonts w:ascii="Times New Roman" w:cs="Times New Roman" w:eastAsia="Times New Roman" w:hAnsi="Times New Roman"/>
          <w:b w:val="1"/>
          <w:bCs w:val="1"/>
          <w:sz w:val="24"/>
          <w:szCs w:val="24"/>
          <w:rtl w:val="0"/>
        </w:rPr>
        <w:t xml:space="preserve">A dominação masculina</w:t>
      </w:r>
      <w:r w:rsidDel="00000000" w:rsidR="00000000" w:rsidRPr="00000000">
        <w:rPr>
          <w:rFonts w:ascii="Times New Roman" w:cs="Times New Roman" w:eastAsia="Times New Roman" w:hAnsi="Times New Roman"/>
          <w:sz w:val="24"/>
          <w:szCs w:val="24"/>
          <w:rtl w:val="0"/>
        </w:rPr>
        <w:t xml:space="preserve">. Tradução Maria Helena Kühner. 11. ed. Rio de Janeiro: Bertrand Brasil, 2012.</w:t>
      </w:r>
    </w:p>
    <w:p w:rsidR="00000000" w:rsidDel="00000000" w:rsidP="00000000" w:rsidRDefault="00000000" w:rsidRPr="00000000" w14:paraId="000001BA">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w:t>
      </w:r>
      <w:r w:rsidDel="00000000" w:rsidR="00000000" w:rsidRPr="00000000">
        <w:rPr>
          <w:rFonts w:ascii="Times New Roman" w:cs="Times New Roman" w:eastAsia="Times New Roman" w:hAnsi="Times New Roman"/>
          <w:b w:val="1"/>
          <w:bCs w:val="1"/>
          <w:sz w:val="24"/>
          <w:szCs w:val="24"/>
          <w:rtl w:val="0"/>
        </w:rPr>
        <w:t xml:space="preserve">Código de ética do/a assistente social</w:t>
      </w:r>
      <w:r w:rsidDel="00000000" w:rsidR="00000000" w:rsidRPr="00000000">
        <w:rPr>
          <w:rFonts w:ascii="Times New Roman" w:cs="Times New Roman" w:eastAsia="Times New Roman" w:hAnsi="Times New Roman"/>
          <w:sz w:val="24"/>
          <w:szCs w:val="24"/>
          <w:rtl w:val="0"/>
        </w:rPr>
        <w:t xml:space="preserve">. Lei 8.662/93 de regulamentação da profissão. 10. ed. Brasília: Conselho Federal de Serviço Social, 2012. </w:t>
      </w:r>
    </w:p>
    <w:p w:rsidR="00000000" w:rsidDel="00000000" w:rsidP="00000000" w:rsidRDefault="00000000" w:rsidRPr="00000000" w14:paraId="000001BB">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w:t>
      </w:r>
      <w:r w:rsidDel="00000000" w:rsidR="00000000" w:rsidRPr="00000000">
        <w:rPr>
          <w:rFonts w:ascii="Times New Roman" w:cs="Times New Roman" w:eastAsia="Times New Roman" w:hAnsi="Times New Roman"/>
          <w:b w:val="1"/>
          <w:bCs w:val="1"/>
          <w:sz w:val="24"/>
          <w:szCs w:val="24"/>
          <w:rtl w:val="0"/>
        </w:rPr>
        <w:t xml:space="preserve">Constituição (1988)</w:t>
      </w:r>
      <w:r w:rsidDel="00000000" w:rsidR="00000000" w:rsidRPr="00000000">
        <w:rPr>
          <w:rFonts w:ascii="Times New Roman" w:cs="Times New Roman" w:eastAsia="Times New Roman" w:hAnsi="Times New Roman"/>
          <w:sz w:val="24"/>
          <w:szCs w:val="24"/>
          <w:rtl w:val="0"/>
        </w:rPr>
        <w:t xml:space="preserve">. Constituição da República Federativa do Brasil de 1988. Brasília, DF: Presidente da República, 2016. Disponível em:</w:t>
      </w:r>
      <w:hyperlink r:id="rId15">
        <w:r w:rsidDel="00000000" w:rsidR="00000000" w:rsidRPr="00000000">
          <w:rPr>
            <w:rFonts w:ascii="Times New Roman" w:cs="Times New Roman" w:eastAsia="Times New Roman" w:hAnsi="Times New Roman"/>
            <w:sz w:val="24"/>
            <w:szCs w:val="24"/>
            <w:rtl w:val="0"/>
          </w:rPr>
          <w:t xml:space="preserve"> </w:t>
        </w:r>
      </w:hyperlink>
      <w:hyperlink r:id="rId16">
        <w:r w:rsidDel="00000000" w:rsidR="00000000" w:rsidRPr="00000000">
          <w:rPr>
            <w:rFonts w:ascii="Times New Roman" w:cs="Times New Roman" w:eastAsia="Times New Roman" w:hAnsi="Times New Roman"/>
            <w:color w:val="0000ff"/>
            <w:sz w:val="24"/>
            <w:szCs w:val="24"/>
            <w:u w:val="single"/>
            <w:rtl w:val="0"/>
          </w:rPr>
          <w:t xml:space="preserve">https://www.planalto.gov.br/ccivil_03/constituicao/constituicao.htm</w:t>
        </w:r>
      </w:hyperlink>
      <w:r w:rsidDel="00000000" w:rsidR="00000000" w:rsidRPr="00000000">
        <w:rPr>
          <w:rFonts w:ascii="Times New Roman" w:cs="Times New Roman" w:eastAsia="Times New Roman" w:hAnsi="Times New Roman"/>
          <w:sz w:val="24"/>
          <w:szCs w:val="24"/>
          <w:rtl w:val="0"/>
        </w:rPr>
        <w:t xml:space="preserve">. Acesso em 08 nov. 2025. </w:t>
      </w:r>
    </w:p>
    <w:p w:rsidR="00000000" w:rsidDel="00000000" w:rsidP="00000000" w:rsidRDefault="00000000" w:rsidRPr="00000000" w14:paraId="000001BC">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w:t>
      </w:r>
      <w:r w:rsidDel="00000000" w:rsidR="00000000" w:rsidRPr="00000000">
        <w:rPr>
          <w:rFonts w:ascii="Times New Roman" w:cs="Times New Roman" w:eastAsia="Times New Roman" w:hAnsi="Times New Roman"/>
          <w:b w:val="1"/>
          <w:bCs w:val="1"/>
          <w:sz w:val="24"/>
          <w:szCs w:val="24"/>
          <w:rtl w:val="0"/>
        </w:rPr>
        <w:t xml:space="preserve">Decreto-Lei nº 2.848 de 7 de dezembro de 1940</w:t>
      </w:r>
      <w:r w:rsidDel="00000000" w:rsidR="00000000" w:rsidRPr="00000000">
        <w:rPr>
          <w:rFonts w:ascii="Times New Roman" w:cs="Times New Roman" w:eastAsia="Times New Roman" w:hAnsi="Times New Roman"/>
          <w:sz w:val="24"/>
          <w:szCs w:val="24"/>
          <w:rtl w:val="0"/>
        </w:rPr>
        <w:t xml:space="preserve">. Código Penal. Brasília (DF): Presidente da República, 7 de dezembro de 1940. Disponível em:</w:t>
      </w:r>
      <w:hyperlink r:id="rId17">
        <w:r w:rsidDel="00000000" w:rsidR="00000000" w:rsidRPr="00000000">
          <w:rPr>
            <w:rFonts w:ascii="Times New Roman" w:cs="Times New Roman" w:eastAsia="Times New Roman" w:hAnsi="Times New Roman"/>
            <w:sz w:val="24"/>
            <w:szCs w:val="24"/>
            <w:rtl w:val="0"/>
          </w:rPr>
          <w:t xml:space="preserve"> </w:t>
        </w:r>
      </w:hyperlink>
      <w:hyperlink r:id="rId18">
        <w:r w:rsidDel="00000000" w:rsidR="00000000" w:rsidRPr="00000000">
          <w:rPr>
            <w:rFonts w:ascii="Times New Roman" w:cs="Times New Roman" w:eastAsia="Times New Roman" w:hAnsi="Times New Roman"/>
            <w:color w:val="0000ff"/>
            <w:sz w:val="24"/>
            <w:szCs w:val="24"/>
            <w:u w:val="single"/>
            <w:rtl w:val="0"/>
          </w:rPr>
          <w:t xml:space="preserve">https://www.planalto.gov.br/ccivil_03/decreto-lei/del2848compilado.htm</w:t>
        </w:r>
      </w:hyperlink>
      <w:r w:rsidDel="00000000" w:rsidR="00000000" w:rsidRPr="00000000">
        <w:rPr>
          <w:rFonts w:ascii="Times New Roman" w:cs="Times New Roman" w:eastAsia="Times New Roman" w:hAnsi="Times New Roman"/>
          <w:sz w:val="24"/>
          <w:szCs w:val="24"/>
          <w:rtl w:val="0"/>
        </w:rPr>
        <w:t xml:space="preserve">. Acesso em: 02 dez. 2025. </w:t>
      </w:r>
    </w:p>
    <w:p w:rsidR="00000000" w:rsidDel="00000000" w:rsidP="00000000" w:rsidRDefault="00000000" w:rsidRPr="00000000" w14:paraId="000001BD">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w:t>
      </w:r>
      <w:r w:rsidDel="00000000" w:rsidR="00000000" w:rsidRPr="00000000">
        <w:rPr>
          <w:rFonts w:ascii="Times New Roman" w:cs="Times New Roman" w:eastAsia="Times New Roman" w:hAnsi="Times New Roman"/>
          <w:b w:val="1"/>
          <w:bCs w:val="1"/>
          <w:sz w:val="24"/>
          <w:szCs w:val="24"/>
          <w:rtl w:val="0"/>
        </w:rPr>
        <w:t xml:space="preserve">Lei 8.069 de 13 de julho de 1990</w:t>
      </w:r>
      <w:r w:rsidDel="00000000" w:rsidR="00000000" w:rsidRPr="00000000">
        <w:rPr>
          <w:rFonts w:ascii="Times New Roman" w:cs="Times New Roman" w:eastAsia="Times New Roman" w:hAnsi="Times New Roman"/>
          <w:sz w:val="24"/>
          <w:szCs w:val="24"/>
          <w:rtl w:val="0"/>
        </w:rPr>
        <w:t xml:space="preserve">. Dispõe sobre o Estatuto da Criança e do Adolescente e dá outras providências. Brasília (DF): Presidente da República, 13 de julho de 1990. Disponível em:</w:t>
      </w:r>
      <w:hyperlink r:id="rId19">
        <w:r w:rsidDel="00000000" w:rsidR="00000000" w:rsidRPr="00000000">
          <w:rPr>
            <w:rFonts w:ascii="Times New Roman" w:cs="Times New Roman" w:eastAsia="Times New Roman" w:hAnsi="Times New Roman"/>
            <w:sz w:val="24"/>
            <w:szCs w:val="24"/>
            <w:rtl w:val="0"/>
          </w:rPr>
          <w:t xml:space="preserve"> </w:t>
        </w:r>
      </w:hyperlink>
      <w:hyperlink r:id="rId20">
        <w:r w:rsidDel="00000000" w:rsidR="00000000" w:rsidRPr="00000000">
          <w:rPr>
            <w:rFonts w:ascii="Times New Roman" w:cs="Times New Roman" w:eastAsia="Times New Roman" w:hAnsi="Times New Roman"/>
            <w:color w:val="0000ff"/>
            <w:sz w:val="24"/>
            <w:szCs w:val="24"/>
            <w:u w:val="single"/>
            <w:rtl w:val="0"/>
          </w:rPr>
          <w:t xml:space="preserve">https://www.planalto.gov.br/ccivil_03/leis/L8069.htm.</w:t>
        </w:r>
      </w:hyperlink>
      <w:r w:rsidDel="00000000" w:rsidR="00000000" w:rsidRPr="00000000">
        <w:rPr>
          <w:rFonts w:ascii="Times New Roman" w:cs="Times New Roman" w:eastAsia="Times New Roman" w:hAnsi="Times New Roman"/>
          <w:sz w:val="24"/>
          <w:szCs w:val="24"/>
          <w:rtl w:val="0"/>
        </w:rPr>
        <w:t xml:space="preserve"> Acesso em: 08 nov. 2025. </w:t>
      </w:r>
    </w:p>
    <w:p w:rsidR="00000000" w:rsidDel="00000000" w:rsidP="00000000" w:rsidRDefault="00000000" w:rsidRPr="00000000" w14:paraId="000001BE">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w:t>
      </w:r>
      <w:r w:rsidDel="00000000" w:rsidR="00000000" w:rsidRPr="00000000">
        <w:rPr>
          <w:rFonts w:ascii="Times New Roman" w:cs="Times New Roman" w:eastAsia="Times New Roman" w:hAnsi="Times New Roman"/>
          <w:b w:val="1"/>
          <w:bCs w:val="1"/>
          <w:sz w:val="24"/>
          <w:szCs w:val="24"/>
          <w:rtl w:val="0"/>
        </w:rPr>
        <w:t xml:space="preserve">Lei 12.015 de 7 de agosto de 2009</w:t>
      </w:r>
      <w:r w:rsidDel="00000000" w:rsidR="00000000" w:rsidRPr="00000000">
        <w:rPr>
          <w:rFonts w:ascii="Times New Roman" w:cs="Times New Roman" w:eastAsia="Times New Roman" w:hAnsi="Times New Roman"/>
          <w:sz w:val="24"/>
          <w:szCs w:val="24"/>
          <w:rtl w:val="0"/>
        </w:rPr>
        <w:t xml:space="preserve">. Altera o Título VI da Parte Especial do Decreto-Lei no 2.848, de 7 de dezembro de 1940 - Código Penal, e o art. 1o da Lei no 8.072, de 25 de julho de 1990, que dispõe sobre os crimes hediondos, nos termos do inciso XLIII do art. 5o da Constituição Federal e revoga a Lei no 2.252, de 1o de julho de 1954, que trata de corrupção de menores. Brasília (DF): Presidente da República, 7 de agosto de 2009. Disponível em:</w:t>
      </w:r>
      <w:hyperlink r:id="rId21">
        <w:r w:rsidDel="00000000" w:rsidR="00000000" w:rsidRPr="00000000">
          <w:rPr>
            <w:rFonts w:ascii="Times New Roman" w:cs="Times New Roman" w:eastAsia="Times New Roman" w:hAnsi="Times New Roman"/>
            <w:sz w:val="24"/>
            <w:szCs w:val="24"/>
            <w:rtl w:val="0"/>
          </w:rPr>
          <w:t xml:space="preserve"> </w:t>
        </w:r>
      </w:hyperlink>
      <w:hyperlink r:id="rId22">
        <w:r w:rsidDel="00000000" w:rsidR="00000000" w:rsidRPr="00000000">
          <w:rPr>
            <w:rFonts w:ascii="Times New Roman" w:cs="Times New Roman" w:eastAsia="Times New Roman" w:hAnsi="Times New Roman"/>
            <w:color w:val="0000ff"/>
            <w:sz w:val="24"/>
            <w:szCs w:val="24"/>
            <w:u w:val="single"/>
            <w:rtl w:val="0"/>
          </w:rPr>
          <w:t xml:space="preserve">https://www.planalto.gov.br/ccivil_03/_Ato2007-2010/2009/Lei/L12015.htm#art3.</w:t>
        </w:r>
      </w:hyperlink>
      <w:r w:rsidDel="00000000" w:rsidR="00000000" w:rsidRPr="00000000">
        <w:rPr>
          <w:rFonts w:ascii="Times New Roman" w:cs="Times New Roman" w:eastAsia="Times New Roman" w:hAnsi="Times New Roman"/>
          <w:sz w:val="24"/>
          <w:szCs w:val="24"/>
          <w:rtl w:val="0"/>
        </w:rPr>
        <w:t xml:space="preserve"> Acesso em: 02 dez. 2025. </w:t>
      </w:r>
    </w:p>
    <w:p w:rsidR="00000000" w:rsidDel="00000000" w:rsidP="00000000" w:rsidRDefault="00000000" w:rsidRPr="00000000" w14:paraId="000001BF">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w:t>
      </w:r>
      <w:r w:rsidDel="00000000" w:rsidR="00000000" w:rsidRPr="00000000">
        <w:rPr>
          <w:rFonts w:ascii="Times New Roman" w:cs="Times New Roman" w:eastAsia="Times New Roman" w:hAnsi="Times New Roman"/>
          <w:b w:val="1"/>
          <w:bCs w:val="1"/>
          <w:sz w:val="24"/>
          <w:szCs w:val="24"/>
          <w:rtl w:val="0"/>
        </w:rPr>
        <w:t xml:space="preserve">Lei 12.650 de 17 de maio de 2012</w:t>
      </w:r>
      <w:r w:rsidDel="00000000" w:rsidR="00000000" w:rsidRPr="00000000">
        <w:rPr>
          <w:rFonts w:ascii="Times New Roman" w:cs="Times New Roman" w:eastAsia="Times New Roman" w:hAnsi="Times New Roman"/>
          <w:sz w:val="24"/>
          <w:szCs w:val="24"/>
          <w:rtl w:val="0"/>
        </w:rPr>
        <w:t xml:space="preserve">. Altera o Decreto-Lei nº 2.848, de 7 de dezembro de 1940 - Código Penal [...]. Brasília (DF): Presidente da República, 7 de maio de 2012. Disponível em:</w:t>
      </w:r>
      <w:hyperlink r:id="rId23">
        <w:r w:rsidDel="00000000" w:rsidR="00000000" w:rsidRPr="00000000">
          <w:rPr>
            <w:rFonts w:ascii="Times New Roman" w:cs="Times New Roman" w:eastAsia="Times New Roman" w:hAnsi="Times New Roman"/>
            <w:sz w:val="24"/>
            <w:szCs w:val="24"/>
            <w:rtl w:val="0"/>
          </w:rPr>
          <w:t xml:space="preserve"> </w:t>
        </w:r>
      </w:hyperlink>
      <w:hyperlink r:id="rId24">
        <w:r w:rsidDel="00000000" w:rsidR="00000000" w:rsidRPr="00000000">
          <w:rPr>
            <w:rFonts w:ascii="Times New Roman" w:cs="Times New Roman" w:eastAsia="Times New Roman" w:hAnsi="Times New Roman"/>
            <w:color w:val="0000ff"/>
            <w:sz w:val="24"/>
            <w:szCs w:val="24"/>
            <w:u w:val="single"/>
            <w:rtl w:val="0"/>
          </w:rPr>
          <w:t xml:space="preserve">https://www.planalto.gov.br/ccivil_03/_ato2011-2014/2012/lei/l12650.htm.</w:t>
        </w:r>
      </w:hyperlink>
      <w:r w:rsidDel="00000000" w:rsidR="00000000" w:rsidRPr="00000000">
        <w:rPr>
          <w:rFonts w:ascii="Times New Roman" w:cs="Times New Roman" w:eastAsia="Times New Roman" w:hAnsi="Times New Roman"/>
          <w:sz w:val="24"/>
          <w:szCs w:val="24"/>
          <w:rtl w:val="0"/>
        </w:rPr>
        <w:t xml:space="preserve"> Acesso em: 08 nov. 2025.</w:t>
      </w:r>
    </w:p>
    <w:p w:rsidR="00000000" w:rsidDel="00000000" w:rsidP="00000000" w:rsidRDefault="00000000" w:rsidRPr="00000000" w14:paraId="000001C0">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w:t>
      </w:r>
      <w:r w:rsidDel="00000000" w:rsidR="00000000" w:rsidRPr="00000000">
        <w:rPr>
          <w:rFonts w:ascii="Times New Roman" w:cs="Times New Roman" w:eastAsia="Times New Roman" w:hAnsi="Times New Roman"/>
          <w:b w:val="1"/>
          <w:bCs w:val="1"/>
          <w:sz w:val="24"/>
          <w:szCs w:val="24"/>
          <w:rtl w:val="0"/>
        </w:rPr>
        <w:t xml:space="preserve">Lei 13.431 de 4 de abril de 2017.</w:t>
      </w:r>
      <w:r w:rsidDel="00000000" w:rsidR="00000000" w:rsidRPr="00000000">
        <w:rPr>
          <w:rFonts w:ascii="Times New Roman" w:cs="Times New Roman" w:eastAsia="Times New Roman" w:hAnsi="Times New Roman"/>
          <w:sz w:val="24"/>
          <w:szCs w:val="24"/>
          <w:rtl w:val="0"/>
        </w:rPr>
        <w:t xml:space="preserve"> Estabelece o sistema de garantia de direitos da criança e do adolescente vítima ou testemunha de violência e altera a Lei nº 8.069, de 13 de julho de 1990 (Estatuto da Criança e do Adolescente). Brasília (DF): Presidente da República, 4 de abril de 2017. Disponível em:  </w:t>
      </w:r>
      <w:hyperlink r:id="rId25">
        <w:r w:rsidDel="00000000" w:rsidR="00000000" w:rsidRPr="00000000">
          <w:rPr>
            <w:rFonts w:ascii="Times New Roman" w:cs="Times New Roman" w:eastAsia="Times New Roman" w:hAnsi="Times New Roman"/>
            <w:color w:val="1155cc"/>
            <w:sz w:val="24"/>
            <w:szCs w:val="24"/>
            <w:u w:val="single"/>
            <w:rtl w:val="0"/>
          </w:rPr>
          <w:t xml:space="preserve">https://www.planalto.gov.br/ccivil_03/_Ato2015-2018/2017/Lei/L13431.htm</w:t>
        </w:r>
      </w:hyperlink>
      <w:r w:rsidDel="00000000" w:rsidR="00000000" w:rsidRPr="00000000">
        <w:rPr>
          <w:rFonts w:ascii="Times New Roman" w:cs="Times New Roman" w:eastAsia="Times New Roman" w:hAnsi="Times New Roman"/>
          <w:sz w:val="24"/>
          <w:szCs w:val="24"/>
          <w:rtl w:val="0"/>
        </w:rPr>
        <w:t xml:space="preserve">. Acesso em: 09 dez. 2025.</w:t>
      </w:r>
    </w:p>
    <w:p w:rsidR="00000000" w:rsidDel="00000000" w:rsidP="00000000" w:rsidRDefault="00000000" w:rsidRPr="00000000" w14:paraId="000001C1">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w:t>
      </w:r>
      <w:r w:rsidDel="00000000" w:rsidR="00000000" w:rsidRPr="00000000">
        <w:rPr>
          <w:rFonts w:ascii="Times New Roman" w:cs="Times New Roman" w:eastAsia="Times New Roman" w:hAnsi="Times New Roman"/>
          <w:b w:val="1"/>
          <w:bCs w:val="1"/>
          <w:sz w:val="24"/>
          <w:szCs w:val="24"/>
          <w:rtl w:val="0"/>
        </w:rPr>
        <w:t xml:space="preserve">Lei 13.935 de 11 de dezembro de 2019</w:t>
      </w:r>
      <w:r w:rsidDel="00000000" w:rsidR="00000000" w:rsidRPr="00000000">
        <w:rPr>
          <w:rFonts w:ascii="Times New Roman" w:cs="Times New Roman" w:eastAsia="Times New Roman" w:hAnsi="Times New Roman"/>
          <w:sz w:val="24"/>
          <w:szCs w:val="24"/>
          <w:rtl w:val="0"/>
        </w:rPr>
        <w:t xml:space="preserve">. Dispõe sobre a prestação de serviços de psicologia e de serviço social nas redes públicas de educação básica. Brasília (DF):Presidente da República, 11 de dezembro de 2019. Disponível em:</w:t>
      </w:r>
      <w:hyperlink r:id="rId26">
        <w:r w:rsidDel="00000000" w:rsidR="00000000" w:rsidRPr="00000000">
          <w:rPr>
            <w:rFonts w:ascii="Times New Roman" w:cs="Times New Roman" w:eastAsia="Times New Roman" w:hAnsi="Times New Roman"/>
            <w:sz w:val="24"/>
            <w:szCs w:val="24"/>
            <w:rtl w:val="0"/>
          </w:rPr>
          <w:t xml:space="preserve"> </w:t>
        </w:r>
      </w:hyperlink>
      <w:hyperlink r:id="rId27">
        <w:r w:rsidDel="00000000" w:rsidR="00000000" w:rsidRPr="00000000">
          <w:rPr>
            <w:rFonts w:ascii="Times New Roman" w:cs="Times New Roman" w:eastAsia="Times New Roman" w:hAnsi="Times New Roman"/>
            <w:color w:val="0000ff"/>
            <w:sz w:val="24"/>
            <w:szCs w:val="24"/>
            <w:u w:val="single"/>
            <w:rtl w:val="0"/>
          </w:rPr>
          <w:t xml:space="preserve">https://www.planalto.gov.br/ccivil_03/_ato2019-2022/2019/lei/l13935.htm.</w:t>
        </w:r>
      </w:hyperlink>
      <w:r w:rsidDel="00000000" w:rsidR="00000000" w:rsidRPr="00000000">
        <w:rPr>
          <w:rFonts w:ascii="Times New Roman" w:cs="Times New Roman" w:eastAsia="Times New Roman" w:hAnsi="Times New Roman"/>
          <w:sz w:val="24"/>
          <w:szCs w:val="24"/>
          <w:rtl w:val="0"/>
        </w:rPr>
        <w:t xml:space="preserve"> Acesso em: 04 dez. 2025.</w:t>
      </w:r>
    </w:p>
    <w:p w:rsidR="00000000" w:rsidDel="00000000" w:rsidP="00000000" w:rsidRDefault="00000000" w:rsidRPr="00000000" w14:paraId="000001C2">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w:t>
      </w:r>
      <w:r w:rsidDel="00000000" w:rsidR="00000000" w:rsidRPr="00000000">
        <w:rPr>
          <w:rFonts w:ascii="Times New Roman" w:cs="Times New Roman" w:eastAsia="Times New Roman" w:hAnsi="Times New Roman"/>
          <w:b w:val="1"/>
          <w:bCs w:val="1"/>
          <w:sz w:val="24"/>
          <w:szCs w:val="24"/>
          <w:rtl w:val="0"/>
        </w:rPr>
        <w:t xml:space="preserve">Lei 14.432 de 3 de agosto de 2022</w:t>
      </w:r>
      <w:r w:rsidDel="00000000" w:rsidR="00000000" w:rsidRPr="00000000">
        <w:rPr>
          <w:rFonts w:ascii="Times New Roman" w:cs="Times New Roman" w:eastAsia="Times New Roman" w:hAnsi="Times New Roman"/>
          <w:sz w:val="24"/>
          <w:szCs w:val="24"/>
          <w:rtl w:val="0"/>
        </w:rPr>
        <w:t xml:space="preserve">. Institui a campanha Maio Laranja [...]. Brasília (DF): Presidente da República, 3 de agosto de 2022. Disponível em: </w:t>
      </w:r>
      <w:hyperlink r:id="rId28">
        <w:r w:rsidDel="00000000" w:rsidR="00000000" w:rsidRPr="00000000">
          <w:rPr>
            <w:rFonts w:ascii="Times New Roman" w:cs="Times New Roman" w:eastAsia="Times New Roman" w:hAnsi="Times New Roman"/>
            <w:color w:val="1155cc"/>
            <w:sz w:val="24"/>
            <w:szCs w:val="24"/>
            <w:u w:val="single"/>
            <w:rtl w:val="0"/>
          </w:rPr>
          <w:t xml:space="preserve">https://www.in.gov.br/en/web/dou/-/lei-n-14.432-de-3-de-agosto-de-2022-419970929</w:t>
        </w:r>
      </w:hyperlink>
      <w:r w:rsidDel="00000000" w:rsidR="00000000" w:rsidRPr="00000000">
        <w:rPr>
          <w:rFonts w:ascii="Times New Roman" w:cs="Times New Roman" w:eastAsia="Times New Roman" w:hAnsi="Times New Roman"/>
          <w:sz w:val="24"/>
          <w:szCs w:val="24"/>
          <w:rtl w:val="0"/>
        </w:rPr>
        <w:t xml:space="preserve">. Acesso em: 04 dez. 2025.</w:t>
      </w:r>
    </w:p>
    <w:p w:rsidR="00000000" w:rsidDel="00000000" w:rsidP="00000000" w:rsidRDefault="00000000" w:rsidRPr="00000000" w14:paraId="000001C3">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w:t>
      </w:r>
      <w:r w:rsidDel="00000000" w:rsidR="00000000" w:rsidRPr="00000000">
        <w:rPr>
          <w:rFonts w:ascii="Times New Roman" w:cs="Times New Roman" w:eastAsia="Times New Roman" w:hAnsi="Times New Roman"/>
          <w:b w:val="1"/>
          <w:bCs w:val="1"/>
          <w:sz w:val="24"/>
          <w:szCs w:val="24"/>
          <w:rtl w:val="0"/>
        </w:rPr>
        <w:t xml:space="preserve">Lei 14.811 de 12 de janeiro de 2024</w:t>
      </w:r>
      <w:r w:rsidDel="00000000" w:rsidR="00000000" w:rsidRPr="00000000">
        <w:rPr>
          <w:rFonts w:ascii="Times New Roman" w:cs="Times New Roman" w:eastAsia="Times New Roman" w:hAnsi="Times New Roman"/>
          <w:sz w:val="24"/>
          <w:szCs w:val="24"/>
          <w:rtl w:val="0"/>
        </w:rPr>
        <w:t xml:space="preserve">. Institui medidas de proteção à criança e ao adolescente contra a violência nos estabelecimentos educacionais ou similares, prevê a Política Nacional de Prevenção e Combate ao Abuso e Exploração Sexual da Criança e do Adolescente (...). Brasília (DF): Presidente da República, 12 de janeiro de 2024. Disponível em: </w:t>
      </w:r>
      <w:hyperlink r:id="rId29">
        <w:r w:rsidDel="00000000" w:rsidR="00000000" w:rsidRPr="00000000">
          <w:rPr>
            <w:rFonts w:ascii="Times New Roman" w:cs="Times New Roman" w:eastAsia="Times New Roman" w:hAnsi="Times New Roman"/>
            <w:color w:val="1155cc"/>
            <w:sz w:val="24"/>
            <w:szCs w:val="24"/>
            <w:u w:val="single"/>
            <w:rtl w:val="0"/>
          </w:rPr>
          <w:t xml:space="preserve">https://www.planalto.gov.br/ccivil_03/_ato2023-2026/2024/lei/l14811.htm</w:t>
        </w:r>
      </w:hyperlink>
      <w:r w:rsidDel="00000000" w:rsidR="00000000" w:rsidRPr="00000000">
        <w:rPr>
          <w:rFonts w:ascii="Times New Roman" w:cs="Times New Roman" w:eastAsia="Times New Roman" w:hAnsi="Times New Roman"/>
          <w:sz w:val="24"/>
          <w:szCs w:val="24"/>
          <w:rtl w:val="0"/>
        </w:rPr>
        <w:t xml:space="preserve">. Acesso em: 09 dez. 2025.</w:t>
      </w:r>
    </w:p>
    <w:p w:rsidR="00000000" w:rsidDel="00000000" w:rsidP="00000000" w:rsidRDefault="00000000" w:rsidRPr="00000000" w14:paraId="000001C4">
      <w:pPr>
        <w:pBdr>
          <w:top w:color="auto" w:space="0" w:sz="0" w:val="none"/>
          <w:left w:color="auto" w:space="0" w:sz="0" w:val="none"/>
          <w:bottom w:color="auto" w:space="0" w:sz="0" w:val="none"/>
          <w:right w:color="auto" w:space="0" w:sz="0" w:val="none"/>
          <w:between w:color="auto" w:space="0" w:sz="0" w:val="none"/>
        </w:pBdr>
        <w:shd w:fill="ffffff" w:val="clear"/>
        <w:spacing w:before="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Ministério da Saúde. Secretaria de Saúde do Distrito Federal. </w:t>
      </w:r>
      <w:r w:rsidDel="00000000" w:rsidR="00000000" w:rsidRPr="00000000">
        <w:rPr>
          <w:rFonts w:ascii="Times New Roman" w:cs="Times New Roman" w:eastAsia="Times New Roman" w:hAnsi="Times New Roman"/>
          <w:b w:val="1"/>
          <w:bCs w:val="1"/>
          <w:sz w:val="24"/>
          <w:szCs w:val="24"/>
          <w:rtl w:val="0"/>
        </w:rPr>
        <w:t xml:space="preserve">Vigilância em Violência Interpessoal e Autoprovocada </w:t>
      </w:r>
      <w:r w:rsidDel="00000000" w:rsidR="00000000" w:rsidRPr="00000000">
        <w:rPr>
          <w:rFonts w:ascii="Times New Roman" w:cs="Times New Roman" w:eastAsia="Times New Roman" w:hAnsi="Times New Roman"/>
          <w:sz w:val="24"/>
          <w:szCs w:val="24"/>
          <w:rtl w:val="0"/>
        </w:rPr>
        <w:t xml:space="preserve">(doméstica, sexual, tentativa de suicídio e/ou outras violências). Brasília (DF): Secretaria de Saúde do Distrito Federal, 01 nov. 2025. Disponível em: https://www.saude.df.gov.br/vigilancia-em-violencia. Acesso em: 07 nov. 2025. </w:t>
      </w:r>
    </w:p>
    <w:p w:rsidR="00000000" w:rsidDel="00000000" w:rsidP="00000000" w:rsidRDefault="00000000" w:rsidRPr="00000000" w14:paraId="000001C5">
      <w:pPr>
        <w:pBdr>
          <w:top w:color="auto" w:space="0" w:sz="0" w:val="none"/>
          <w:left w:color="auto" w:space="0" w:sz="0" w:val="none"/>
          <w:bottom w:color="auto" w:space="0" w:sz="0" w:val="none"/>
          <w:right w:color="auto" w:space="0" w:sz="0" w:val="none"/>
          <w:between w:color="auto" w:space="0" w:sz="0" w:val="none"/>
        </w:pBdr>
        <w:shd w:fill="ffffff" w:val="clear"/>
        <w:spacing w:before="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CERQUEIRA, D. (coord).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Atlas da Violência 2025</w:t>
      </w:r>
      <w:r w:rsidDel="00000000" w:rsidR="00000000" w:rsidRPr="00000000">
        <w:rPr>
          <w:rFonts w:ascii="Times New Roman" w:cs="Times New Roman" w:eastAsia="Times New Roman" w:hAnsi="Times New Roman"/>
          <w:sz w:val="24"/>
          <w:szCs w:val="24"/>
          <w:rtl w:val="0"/>
        </w:rPr>
        <w:t xml:space="preserve">. Brasília (DF): IPEA, 2025.</w:t>
      </w:r>
    </w:p>
    <w:p w:rsidR="00000000" w:rsidDel="00000000" w:rsidP="00000000" w:rsidRDefault="00000000" w:rsidRPr="00000000" w14:paraId="000001C6">
      <w:pPr>
        <w:pBdr>
          <w:top w:color="auto" w:space="0" w:sz="0" w:val="none"/>
          <w:left w:color="auto" w:space="0" w:sz="0" w:val="none"/>
          <w:bottom w:color="auto" w:space="0" w:sz="0" w:val="none"/>
          <w:right w:color="auto" w:space="0" w:sz="0" w:val="none"/>
          <w:between w:color="auto" w:space="0" w:sz="0" w:val="none"/>
        </w:pBdr>
        <w:shd w:fill="ffffff" w:val="clear"/>
        <w:spacing w:before="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CREENSHAW, K. Documento para o encontro de especialistas em aspectos da discriminação racial relativos ao gênero. </w:t>
      </w:r>
      <w:r w:rsidDel="00000000" w:rsidR="00000000" w:rsidRPr="00000000">
        <w:rPr>
          <w:rFonts w:ascii="Times New Roman" w:cs="Times New Roman" w:eastAsia="Times New Roman" w:hAnsi="Times New Roman"/>
          <w:b w:val="1"/>
          <w:bCs w:val="1"/>
          <w:sz w:val="24"/>
          <w:szCs w:val="24"/>
          <w:rtl w:val="0"/>
        </w:rPr>
        <w:t xml:space="preserve">Revista Estudos Feministas</w:t>
      </w:r>
      <w:r w:rsidDel="00000000" w:rsidR="00000000" w:rsidRPr="00000000">
        <w:rPr>
          <w:rFonts w:ascii="Times New Roman" w:cs="Times New Roman" w:eastAsia="Times New Roman" w:hAnsi="Times New Roman"/>
          <w:sz w:val="24"/>
          <w:szCs w:val="24"/>
          <w:rtl w:val="0"/>
        </w:rPr>
        <w:t xml:space="preserve">, vol. 10, n. 1, 2002. p. 171-188.</w:t>
      </w:r>
    </w:p>
    <w:p w:rsidR="00000000" w:rsidDel="00000000" w:rsidP="00000000" w:rsidRDefault="00000000" w:rsidRPr="00000000" w14:paraId="000001C7">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CURI, P. L.; OLIVEIRA, L. S.; FIAUX, L. P. R. Violência sexual: Tecendo redes para cuidar de mulheres. In: CAVALCANTI, Ludmila Fontenele (org). </w:t>
      </w:r>
      <w:r w:rsidDel="00000000" w:rsidR="00000000" w:rsidRPr="00000000">
        <w:rPr>
          <w:rFonts w:ascii="Times New Roman" w:cs="Times New Roman" w:eastAsia="Times New Roman" w:hAnsi="Times New Roman"/>
          <w:b w:val="1"/>
          <w:bCs w:val="1"/>
          <w:sz w:val="24"/>
          <w:szCs w:val="24"/>
          <w:rtl w:val="0"/>
        </w:rPr>
        <w:t xml:space="preserve">Violência sexual contra a mulher:</w:t>
      </w:r>
      <w:r w:rsidDel="00000000" w:rsidR="00000000" w:rsidRPr="00000000">
        <w:rPr>
          <w:rFonts w:ascii="Times New Roman" w:cs="Times New Roman" w:eastAsia="Times New Roman" w:hAnsi="Times New Roman"/>
          <w:sz w:val="24"/>
          <w:szCs w:val="24"/>
          <w:rtl w:val="0"/>
        </w:rPr>
        <w:t xml:space="preserve"> abordagens, contextos e desafios. Rio de Janeiro, RJ: Ed. UFRJ, 2022. </w:t>
      </w:r>
    </w:p>
    <w:p w:rsidR="00000000" w:rsidDel="00000000" w:rsidP="00000000" w:rsidRDefault="00000000" w:rsidRPr="00000000" w14:paraId="000001C8">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FALEIROS, E. T. S. Aspectos relevantes na definição de abuso sexual. </w:t>
      </w:r>
      <w:r w:rsidDel="00000000" w:rsidR="00000000" w:rsidRPr="00000000">
        <w:rPr>
          <w:rFonts w:ascii="Times New Roman" w:cs="Times New Roman" w:eastAsia="Times New Roman" w:hAnsi="Times New Roman"/>
          <w:i w:val="1"/>
          <w:iCs w:val="1"/>
          <w:sz w:val="24"/>
          <w:szCs w:val="24"/>
          <w:rtl w:val="0"/>
        </w:rPr>
        <w:t xml:space="preserve">In</w:t>
      </w:r>
      <w:r w:rsidDel="00000000" w:rsidR="00000000" w:rsidRPr="00000000">
        <w:rPr>
          <w:rFonts w:ascii="Times New Roman" w:cs="Times New Roman" w:eastAsia="Times New Roman" w:hAnsi="Times New Roman"/>
          <w:sz w:val="24"/>
          <w:szCs w:val="24"/>
          <w:rtl w:val="0"/>
        </w:rPr>
        <w:t xml:space="preserve">: OLIVEIRA, A. C. (org). </w:t>
      </w:r>
      <w:r w:rsidDel="00000000" w:rsidR="00000000" w:rsidRPr="00000000">
        <w:rPr>
          <w:rFonts w:ascii="Times New Roman" w:cs="Times New Roman" w:eastAsia="Times New Roman" w:hAnsi="Times New Roman"/>
          <w:b w:val="1"/>
          <w:bCs w:val="1"/>
          <w:sz w:val="24"/>
          <w:szCs w:val="24"/>
          <w:rtl w:val="0"/>
        </w:rPr>
        <w:t xml:space="preserve">Abuso sexual de crianças e adolescentes: </w:t>
      </w:r>
      <w:r w:rsidDel="00000000" w:rsidR="00000000" w:rsidRPr="00000000">
        <w:rPr>
          <w:rFonts w:ascii="Times New Roman" w:cs="Times New Roman" w:eastAsia="Times New Roman" w:hAnsi="Times New Roman"/>
          <w:sz w:val="24"/>
          <w:szCs w:val="24"/>
          <w:rtl w:val="0"/>
        </w:rPr>
        <w:t xml:space="preserve">desafios na qualificação profissional. 2. ed. Rio de Janeiro: Editora Nova Pesquisa, 2004. </w:t>
      </w:r>
    </w:p>
    <w:p w:rsidR="00000000" w:rsidDel="00000000" w:rsidP="00000000" w:rsidRDefault="00000000" w:rsidRPr="00000000" w14:paraId="000001C9">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FÓRUM BRASILEIRO DE SEGURANÇA PÚBLICA. </w:t>
      </w:r>
      <w:r w:rsidDel="00000000" w:rsidR="00000000" w:rsidRPr="00000000">
        <w:rPr>
          <w:rFonts w:ascii="Times New Roman" w:cs="Times New Roman" w:eastAsia="Times New Roman" w:hAnsi="Times New Roman"/>
          <w:b w:val="1"/>
          <w:bCs w:val="1"/>
          <w:sz w:val="24"/>
          <w:szCs w:val="24"/>
          <w:rtl w:val="0"/>
        </w:rPr>
        <w:t xml:space="preserve">18º Anuário Brasileiro de Segurança Pública</w:t>
      </w:r>
      <w:r w:rsidDel="00000000" w:rsidR="00000000" w:rsidRPr="00000000">
        <w:rPr>
          <w:rFonts w:ascii="Times New Roman" w:cs="Times New Roman" w:eastAsia="Times New Roman" w:hAnsi="Times New Roman"/>
          <w:sz w:val="24"/>
          <w:szCs w:val="24"/>
          <w:rtl w:val="0"/>
        </w:rPr>
        <w:t xml:space="preserve">. São Paulo: Fórum Brasileiro de Segurança Pública, 2024. Disponível em:</w:t>
      </w:r>
      <w:hyperlink r:id="rId30">
        <w:r w:rsidDel="00000000" w:rsidR="00000000" w:rsidRPr="00000000">
          <w:rPr>
            <w:rFonts w:ascii="Times New Roman" w:cs="Times New Roman" w:eastAsia="Times New Roman" w:hAnsi="Times New Roman"/>
            <w:sz w:val="24"/>
            <w:szCs w:val="24"/>
            <w:rtl w:val="0"/>
          </w:rPr>
          <w:t xml:space="preserve"> </w:t>
        </w:r>
      </w:hyperlink>
      <w:hyperlink r:id="rId31">
        <w:r w:rsidDel="00000000" w:rsidR="00000000" w:rsidRPr="00000000">
          <w:rPr>
            <w:rFonts w:ascii="Times New Roman" w:cs="Times New Roman" w:eastAsia="Times New Roman" w:hAnsi="Times New Roman"/>
            <w:color w:val="0000ff"/>
            <w:sz w:val="24"/>
            <w:szCs w:val="24"/>
            <w:u w:val="single"/>
            <w:rtl w:val="0"/>
          </w:rPr>
          <w:t xml:space="preserve">https://publicacoes.forumseguranca.org.br/items/f62c4196-561d-452d-a2a8-9d33d1163af0</w:t>
        </w:r>
      </w:hyperlink>
      <w:r w:rsidDel="00000000" w:rsidR="00000000" w:rsidRPr="00000000">
        <w:rPr>
          <w:rFonts w:ascii="Times New Roman" w:cs="Times New Roman" w:eastAsia="Times New Roman" w:hAnsi="Times New Roman"/>
          <w:sz w:val="24"/>
          <w:szCs w:val="24"/>
          <w:rtl w:val="0"/>
        </w:rPr>
        <w:t xml:space="preserve">. Acesso em: 24 nov. 2025. </w:t>
      </w:r>
    </w:p>
    <w:p w:rsidR="00000000" w:rsidDel="00000000" w:rsidP="00000000" w:rsidRDefault="00000000" w:rsidRPr="00000000" w14:paraId="000001CA">
      <w:pPr>
        <w:pBdr>
          <w:top w:color="auto" w:space="0" w:sz="0" w:val="none"/>
          <w:left w:color="auto" w:space="0" w:sz="0" w:val="none"/>
          <w:bottom w:color="auto" w:space="0" w:sz="0" w:val="none"/>
          <w:right w:color="auto" w:space="0" w:sz="0" w:val="none"/>
          <w:between w:color="auto" w:space="0" w:sz="0" w:val="none"/>
        </w:pBdr>
        <w:shd w:fill="ffffff" w:val="clear"/>
        <w:spacing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FÓRUM BRASILEIRO DE SEGURANÇA PÚBLICA. </w:t>
      </w:r>
      <w:r w:rsidDel="00000000" w:rsidR="00000000" w:rsidRPr="00000000">
        <w:rPr>
          <w:rFonts w:ascii="Times New Roman" w:cs="Times New Roman" w:eastAsia="Times New Roman" w:hAnsi="Times New Roman"/>
          <w:b w:val="1"/>
          <w:bCs w:val="1"/>
          <w:sz w:val="24"/>
          <w:szCs w:val="24"/>
          <w:rtl w:val="0"/>
        </w:rPr>
        <w:t xml:space="preserve">19º Anuário Brasileiro de Segurança Pública</w:t>
      </w:r>
      <w:r w:rsidDel="00000000" w:rsidR="00000000" w:rsidRPr="00000000">
        <w:rPr>
          <w:rFonts w:ascii="Times New Roman" w:cs="Times New Roman" w:eastAsia="Times New Roman" w:hAnsi="Times New Roman"/>
          <w:sz w:val="24"/>
          <w:szCs w:val="24"/>
          <w:rtl w:val="0"/>
        </w:rPr>
        <w:t xml:space="preserve">. São Paulo: Fórum Brasileiro de Segurança Pública, 2025. Disponível em:</w:t>
      </w:r>
      <w:hyperlink r:id="rId32">
        <w:r w:rsidDel="00000000" w:rsidR="00000000" w:rsidRPr="00000000">
          <w:rPr>
            <w:rFonts w:ascii="Times New Roman" w:cs="Times New Roman" w:eastAsia="Times New Roman" w:hAnsi="Times New Roman"/>
            <w:sz w:val="24"/>
            <w:szCs w:val="24"/>
            <w:rtl w:val="0"/>
          </w:rPr>
          <w:t xml:space="preserve"> </w:t>
        </w:r>
      </w:hyperlink>
      <w:hyperlink r:id="rId33">
        <w:r w:rsidDel="00000000" w:rsidR="00000000" w:rsidRPr="00000000">
          <w:rPr>
            <w:rFonts w:ascii="Times New Roman" w:cs="Times New Roman" w:eastAsia="Times New Roman" w:hAnsi="Times New Roman"/>
            <w:color w:val="0000ff"/>
            <w:sz w:val="24"/>
            <w:szCs w:val="24"/>
            <w:u w:val="single"/>
            <w:rtl w:val="0"/>
          </w:rPr>
          <w:t xml:space="preserve">https://publicacoes.forumseguranca.org.br/handle/123456789/279</w:t>
        </w:r>
      </w:hyperlink>
      <w:r w:rsidDel="00000000" w:rsidR="00000000" w:rsidRPr="00000000">
        <w:rPr>
          <w:rFonts w:ascii="Times New Roman" w:cs="Times New Roman" w:eastAsia="Times New Roman" w:hAnsi="Times New Roman"/>
          <w:sz w:val="24"/>
          <w:szCs w:val="24"/>
          <w:rtl w:val="0"/>
        </w:rPr>
        <w:t xml:space="preserve">. Acesso em: 24 nov. 2025. </w:t>
      </w:r>
    </w:p>
    <w:p w:rsidR="00000000" w:rsidDel="00000000" w:rsidP="00000000" w:rsidRDefault="00000000" w:rsidRPr="00000000" w14:paraId="000001CB">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GABEL, M. Algumas observações preliminares. </w:t>
      </w:r>
      <w:r w:rsidDel="00000000" w:rsidR="00000000" w:rsidRPr="00000000">
        <w:rPr>
          <w:rFonts w:ascii="Times New Roman" w:cs="Times New Roman" w:eastAsia="Times New Roman" w:hAnsi="Times New Roman"/>
          <w:i w:val="1"/>
          <w:iCs w:val="1"/>
          <w:sz w:val="24"/>
          <w:szCs w:val="24"/>
          <w:rtl w:val="0"/>
        </w:rPr>
        <w:t xml:space="preserve">In</w:t>
      </w:r>
      <w:r w:rsidDel="00000000" w:rsidR="00000000" w:rsidRPr="00000000">
        <w:rPr>
          <w:rFonts w:ascii="Times New Roman" w:cs="Times New Roman" w:eastAsia="Times New Roman" w:hAnsi="Times New Roman"/>
          <w:sz w:val="24"/>
          <w:szCs w:val="24"/>
          <w:rtl w:val="0"/>
        </w:rPr>
        <w:t xml:space="preserve">: GABEL, M. (org). </w:t>
      </w:r>
      <w:r w:rsidDel="00000000" w:rsidR="00000000" w:rsidRPr="00000000">
        <w:rPr>
          <w:rFonts w:ascii="Times New Roman" w:cs="Times New Roman" w:eastAsia="Times New Roman" w:hAnsi="Times New Roman"/>
          <w:b w:val="1"/>
          <w:bCs w:val="1"/>
          <w:sz w:val="24"/>
          <w:szCs w:val="24"/>
          <w:rtl w:val="0"/>
        </w:rPr>
        <w:t xml:space="preserve">Crianças vítimas de abuso sexual</w:t>
      </w:r>
      <w:r w:rsidDel="00000000" w:rsidR="00000000" w:rsidRPr="00000000">
        <w:rPr>
          <w:rFonts w:ascii="Times New Roman" w:cs="Times New Roman" w:eastAsia="Times New Roman" w:hAnsi="Times New Roman"/>
          <w:sz w:val="24"/>
          <w:szCs w:val="24"/>
          <w:rtl w:val="0"/>
        </w:rPr>
        <w:t xml:space="preserve">. 2. ed. São Paulo: Ed. Summus, 1997. </w:t>
      </w:r>
    </w:p>
    <w:p w:rsidR="00000000" w:rsidDel="00000000" w:rsidP="00000000" w:rsidRDefault="00000000" w:rsidRPr="00000000" w14:paraId="000001CC">
      <w:pPr>
        <w:pBdr>
          <w:top w:color="auto" w:space="0" w:sz="0" w:val="none"/>
          <w:left w:color="auto" w:space="0" w:sz="0" w:val="none"/>
          <w:bottom w:color="auto" w:space="0" w:sz="0" w:val="none"/>
          <w:right w:color="auto" w:space="0" w:sz="0" w:val="none"/>
          <w:between w:color="auto" w:space="0" w:sz="0" w:val="none"/>
        </w:pBdr>
        <w:shd w:fill="ffffff" w:val="clear"/>
        <w:spacing w:before="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GIL, A. C. </w:t>
      </w:r>
      <w:r w:rsidDel="00000000" w:rsidR="00000000" w:rsidRPr="00000000">
        <w:rPr>
          <w:rFonts w:ascii="Times New Roman" w:cs="Times New Roman" w:eastAsia="Times New Roman" w:hAnsi="Times New Roman"/>
          <w:b w:val="1"/>
          <w:bCs w:val="1"/>
          <w:sz w:val="24"/>
          <w:szCs w:val="24"/>
          <w:rtl w:val="0"/>
        </w:rPr>
        <w:t xml:space="preserve">Como elaborar projetos de pesquisa</w:t>
      </w:r>
      <w:r w:rsidDel="00000000" w:rsidR="00000000" w:rsidRPr="00000000">
        <w:rPr>
          <w:rFonts w:ascii="Times New Roman" w:cs="Times New Roman" w:eastAsia="Times New Roman" w:hAnsi="Times New Roman"/>
          <w:sz w:val="24"/>
          <w:szCs w:val="24"/>
          <w:rtl w:val="0"/>
        </w:rPr>
        <w:t xml:space="preserve">. 4. ed. São Paulo: Editora Atlas, 2008.  </w:t>
      </w:r>
    </w:p>
    <w:p w:rsidR="00000000" w:rsidDel="00000000" w:rsidP="00000000" w:rsidRDefault="00000000" w:rsidRPr="00000000" w14:paraId="000001CD">
      <w:pPr>
        <w:pBdr>
          <w:top w:color="auto" w:space="0" w:sz="0" w:val="none"/>
          <w:left w:color="auto" w:space="0" w:sz="0" w:val="none"/>
          <w:bottom w:color="auto" w:space="0" w:sz="0" w:val="none"/>
          <w:right w:color="auto" w:space="0" w:sz="0" w:val="none"/>
          <w:between w:color="auto" w:space="0" w:sz="0" w:val="none"/>
        </w:pBdr>
        <w:shd w:fill="ffffff" w:val="clear"/>
        <w:spacing w:before="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HIRATA, H.; KERGOAT, D. Novas configurações da divisão sexual do trabalho. </w:t>
      </w:r>
      <w:r w:rsidDel="00000000" w:rsidR="00000000" w:rsidRPr="00000000">
        <w:rPr>
          <w:rFonts w:ascii="Times New Roman" w:cs="Times New Roman" w:eastAsia="Times New Roman" w:hAnsi="Times New Roman"/>
          <w:b w:val="1"/>
          <w:bCs w:val="1"/>
          <w:sz w:val="24"/>
          <w:szCs w:val="24"/>
          <w:rtl w:val="0"/>
        </w:rPr>
        <w:t xml:space="preserve">Cadernos de Pesquisa</w:t>
      </w:r>
      <w:r w:rsidDel="00000000" w:rsidR="00000000" w:rsidRPr="00000000">
        <w:rPr>
          <w:rFonts w:ascii="Times New Roman" w:cs="Times New Roman" w:eastAsia="Times New Roman" w:hAnsi="Times New Roman"/>
          <w:sz w:val="24"/>
          <w:szCs w:val="24"/>
          <w:rtl w:val="0"/>
        </w:rPr>
        <w:t xml:space="preserve">, São Paulo, v. 37, n. 132, dez. 2007. </w:t>
      </w:r>
    </w:p>
    <w:p w:rsidR="00000000" w:rsidDel="00000000" w:rsidP="00000000" w:rsidRDefault="00000000" w:rsidRPr="00000000" w14:paraId="000001CE">
      <w:pPr>
        <w:pBdr>
          <w:top w:color="auto" w:space="0" w:sz="0" w:val="none"/>
          <w:left w:color="auto" w:space="0" w:sz="0" w:val="none"/>
          <w:bottom w:color="auto" w:space="0" w:sz="0" w:val="none"/>
          <w:right w:color="auto" w:space="0" w:sz="0" w:val="none"/>
          <w:between w:color="auto" w:space="0" w:sz="0" w:val="none"/>
        </w:pBdr>
        <w:shd w:fill="ffffff" w:val="clear"/>
        <w:spacing w:before="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KRUG, E. G.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(org). </w:t>
      </w:r>
      <w:r w:rsidDel="00000000" w:rsidR="00000000" w:rsidRPr="00000000">
        <w:rPr>
          <w:rFonts w:ascii="Times New Roman" w:cs="Times New Roman" w:eastAsia="Times New Roman" w:hAnsi="Times New Roman"/>
          <w:b w:val="1"/>
          <w:bCs w:val="1"/>
          <w:sz w:val="24"/>
          <w:szCs w:val="24"/>
          <w:rtl w:val="0"/>
        </w:rPr>
        <w:t xml:space="preserve">Relatório mundial sobre violência e saúde</w:t>
      </w:r>
      <w:r w:rsidDel="00000000" w:rsidR="00000000" w:rsidRPr="00000000">
        <w:rPr>
          <w:rFonts w:ascii="Times New Roman" w:cs="Times New Roman" w:eastAsia="Times New Roman" w:hAnsi="Times New Roman"/>
          <w:sz w:val="24"/>
          <w:szCs w:val="24"/>
          <w:rtl w:val="0"/>
        </w:rPr>
        <w:t xml:space="preserve">. Geneva: Organização Mundial da Saúde, 2002. </w:t>
      </w:r>
    </w:p>
    <w:p w:rsidR="00000000" w:rsidDel="00000000" w:rsidP="00000000" w:rsidRDefault="00000000" w:rsidRPr="00000000" w14:paraId="000001CF">
      <w:pPr>
        <w:pBdr>
          <w:top w:color="auto" w:space="0" w:sz="0" w:val="none"/>
          <w:left w:color="auto" w:space="0" w:sz="0" w:val="none"/>
          <w:bottom w:color="auto" w:space="0" w:sz="0" w:val="none"/>
          <w:right w:color="auto" w:space="0" w:sz="0" w:val="none"/>
          <w:between w:color="auto" w:space="0" w:sz="0" w:val="none"/>
        </w:pBdr>
        <w:shd w:fill="ffffff" w:val="clear"/>
        <w:spacing w:before="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MEDEIROS, M. S. Violência Sexual contra crianças e adolescentes e a intervenção qualificada do Assistente Social. </w:t>
      </w:r>
      <w:r w:rsidDel="00000000" w:rsidR="00000000" w:rsidRPr="00000000">
        <w:rPr>
          <w:rFonts w:ascii="Times New Roman" w:cs="Times New Roman" w:eastAsia="Times New Roman" w:hAnsi="Times New Roman"/>
          <w:b w:val="1"/>
          <w:bCs w:val="1"/>
          <w:sz w:val="24"/>
          <w:szCs w:val="24"/>
          <w:rtl w:val="0"/>
        </w:rPr>
        <w:t xml:space="preserve">Em Debate</w:t>
      </w:r>
      <w:r w:rsidDel="00000000" w:rsidR="00000000" w:rsidRPr="00000000">
        <w:rPr>
          <w:rFonts w:ascii="Times New Roman" w:cs="Times New Roman" w:eastAsia="Times New Roman" w:hAnsi="Times New Roman"/>
          <w:sz w:val="24"/>
          <w:szCs w:val="24"/>
          <w:rtl w:val="0"/>
        </w:rPr>
        <w:t xml:space="preserve">, 2013, n. 11, p. 96-112. </w:t>
      </w:r>
    </w:p>
    <w:p w:rsidR="00000000" w:rsidDel="00000000" w:rsidP="00000000" w:rsidRDefault="00000000" w:rsidRPr="00000000" w14:paraId="000001D0">
      <w:pPr>
        <w:pBdr>
          <w:top w:color="auto" w:space="0" w:sz="0" w:val="none"/>
          <w:left w:color="auto" w:space="0" w:sz="0" w:val="none"/>
          <w:bottom w:color="auto" w:space="0" w:sz="0" w:val="none"/>
          <w:right w:color="auto" w:space="0" w:sz="0" w:val="none"/>
          <w:between w:color="auto" w:space="0" w:sz="0" w:val="none"/>
        </w:pBdr>
        <w:shd w:fill="ffffff" w:val="clear"/>
        <w:spacing w:before="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MINAYO, Maria Cecília de Souza (org.). </w:t>
      </w:r>
      <w:r w:rsidDel="00000000" w:rsidR="00000000" w:rsidRPr="00000000">
        <w:rPr>
          <w:rFonts w:ascii="Times New Roman" w:cs="Times New Roman" w:eastAsia="Times New Roman" w:hAnsi="Times New Roman"/>
          <w:b w:val="1"/>
          <w:bCs w:val="1"/>
          <w:sz w:val="24"/>
          <w:szCs w:val="24"/>
          <w:rtl w:val="0"/>
        </w:rPr>
        <w:t xml:space="preserve">Pesquisa Social</w:t>
      </w:r>
      <w:r w:rsidDel="00000000" w:rsidR="00000000" w:rsidRPr="00000000">
        <w:rPr>
          <w:rFonts w:ascii="Times New Roman" w:cs="Times New Roman" w:eastAsia="Times New Roman" w:hAnsi="Times New Roman"/>
          <w:sz w:val="24"/>
          <w:szCs w:val="24"/>
          <w:rtl w:val="0"/>
        </w:rPr>
        <w:t xml:space="preserve">. Teoria, método e criatividade. 18 ed. Petrópolis: Vozes, 2001. </w:t>
      </w:r>
    </w:p>
    <w:p w:rsidR="00000000" w:rsidDel="00000000" w:rsidP="00000000" w:rsidRDefault="00000000" w:rsidRPr="00000000" w14:paraId="000001D1">
      <w:pPr>
        <w:pBdr>
          <w:top w:color="auto" w:space="0" w:sz="0" w:val="none"/>
          <w:left w:color="auto" w:space="0" w:sz="0" w:val="none"/>
          <w:bottom w:color="auto" w:space="0" w:sz="0" w:val="none"/>
          <w:right w:color="auto" w:space="0" w:sz="0" w:val="none"/>
          <w:between w:color="auto" w:space="0" w:sz="0" w:val="none"/>
        </w:pBdr>
        <w:shd w:fill="ffffff" w:val="clear"/>
        <w:spacing w:before="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MINISTÉRIO da Mulher, da Família e dos Direitos Humanos; Conselho Nacional dos Direitos da Criança e do Adolescente.</w:t>
      </w:r>
      <w:r w:rsidDel="00000000" w:rsidR="00000000" w:rsidRPr="00000000">
        <w:rPr>
          <w:rFonts w:ascii="Times New Roman" w:cs="Times New Roman" w:eastAsia="Times New Roman" w:hAnsi="Times New Roman"/>
          <w:b w:val="1"/>
          <w:bCs w:val="1"/>
          <w:sz w:val="24"/>
          <w:szCs w:val="24"/>
          <w:rtl w:val="0"/>
        </w:rPr>
        <w:t xml:space="preserve"> Estatuto da Criança e do Adolescente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 Lei n.º 8.069, de 13 de julho de 1990:</w:t>
      </w:r>
      <w:r w:rsidDel="00000000" w:rsidR="00000000" w:rsidRPr="00000000">
        <w:rPr>
          <w:rFonts w:ascii="Times New Roman" w:cs="Times New Roman" w:eastAsia="Times New Roman" w:hAnsi="Times New Roman"/>
          <w:sz w:val="24"/>
          <w:szCs w:val="24"/>
          <w:rtl w:val="0"/>
        </w:rPr>
        <w:t xml:space="preserve"> 31 anos: novas ações para fortalecer o ECA. Brasília: MMFDH/CONANDA, 2021. Disponível em:</w:t>
      </w:r>
      <w:hyperlink r:id="rId34">
        <w:r w:rsidDel="00000000" w:rsidR="00000000" w:rsidRPr="00000000">
          <w:rPr>
            <w:rFonts w:ascii="Times New Roman" w:cs="Times New Roman" w:eastAsia="Times New Roman" w:hAnsi="Times New Roman"/>
            <w:sz w:val="24"/>
            <w:szCs w:val="24"/>
            <w:rtl w:val="0"/>
          </w:rPr>
          <w:t xml:space="preserve"> </w:t>
        </w:r>
      </w:hyperlink>
      <w:hyperlink r:id="rId35">
        <w:r w:rsidDel="00000000" w:rsidR="00000000" w:rsidRPr="00000000">
          <w:rPr>
            <w:rFonts w:ascii="Times New Roman" w:cs="Times New Roman" w:eastAsia="Times New Roman" w:hAnsi="Times New Roman"/>
            <w:color w:val="0000ff"/>
            <w:sz w:val="24"/>
            <w:szCs w:val="24"/>
            <w:u w:val="single"/>
            <w:rtl w:val="0"/>
          </w:rPr>
          <w:t xml:space="preserve">https://www.gov.br/mdh/pt-br/assuntos/noticias/2021/julho/trinta-e-um-anos-do-estatuto-da-crianca-e-do-adolescente-confira-as-novas-acoes-para-fortalecer-o-eca/ECA2021_Digital.pdf</w:t>
        </w:r>
      </w:hyperlink>
      <w:r w:rsidDel="00000000" w:rsidR="00000000" w:rsidRPr="00000000">
        <w:rPr>
          <w:rFonts w:ascii="Times New Roman" w:cs="Times New Roman" w:eastAsia="Times New Roman" w:hAnsi="Times New Roman"/>
          <w:sz w:val="24"/>
          <w:szCs w:val="24"/>
          <w:rtl w:val="0"/>
        </w:rPr>
        <w:t xml:space="preserve">. Acesso em: 08 nov. 2025. </w:t>
      </w:r>
    </w:p>
    <w:p w:rsidR="00000000" w:rsidDel="00000000" w:rsidP="00000000" w:rsidRDefault="00000000" w:rsidRPr="00000000" w14:paraId="000001D2">
      <w:pPr>
        <w:pBdr>
          <w:top w:color="auto" w:space="0" w:sz="0" w:val="none"/>
          <w:left w:color="auto" w:space="0" w:sz="0" w:val="none"/>
          <w:bottom w:color="auto" w:space="0" w:sz="0" w:val="none"/>
          <w:right w:color="auto" w:space="0" w:sz="0" w:val="none"/>
          <w:between w:color="auto" w:space="0" w:sz="0" w:val="none"/>
        </w:pBdr>
        <w:shd w:fill="ffffff" w:val="clear"/>
        <w:spacing w:before="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MIOTO, R. C. T. Família, trabalho com famílias e Serviço Social. </w:t>
      </w:r>
      <w:r w:rsidDel="00000000" w:rsidR="00000000" w:rsidRPr="00000000">
        <w:rPr>
          <w:rFonts w:ascii="Times New Roman" w:cs="Times New Roman" w:eastAsia="Times New Roman" w:hAnsi="Times New Roman"/>
          <w:b w:val="1"/>
          <w:bCs w:val="1"/>
          <w:sz w:val="24"/>
          <w:szCs w:val="24"/>
          <w:rtl w:val="0"/>
        </w:rPr>
        <w:t xml:space="preserve">Serviço Social em Revista</w:t>
      </w:r>
      <w:r w:rsidDel="00000000" w:rsidR="00000000" w:rsidRPr="00000000">
        <w:rPr>
          <w:rFonts w:ascii="Times New Roman" w:cs="Times New Roman" w:eastAsia="Times New Roman" w:hAnsi="Times New Roman"/>
          <w:sz w:val="24"/>
          <w:szCs w:val="24"/>
          <w:rtl w:val="0"/>
        </w:rPr>
        <w:t xml:space="preserve">, v. 12, n. 2, 2010, p. 163-176. </w:t>
      </w:r>
    </w:p>
    <w:p w:rsidR="00000000" w:rsidDel="00000000" w:rsidP="00000000" w:rsidRDefault="00000000" w:rsidRPr="00000000" w14:paraId="000001D3">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MIOTO, R. C. T.; CAMPOS, M. S.; LIMA, T. C. S. Quem cobre as insuficiências das políticas públicas? Contribuição ao debate da família na provisão do bem-estar social. </w:t>
      </w:r>
      <w:r w:rsidDel="00000000" w:rsidR="00000000" w:rsidRPr="00000000">
        <w:rPr>
          <w:rFonts w:ascii="Times New Roman" w:cs="Times New Roman" w:eastAsia="Times New Roman" w:hAnsi="Times New Roman"/>
          <w:b w:val="1"/>
          <w:bCs w:val="1"/>
          <w:sz w:val="24"/>
          <w:szCs w:val="24"/>
          <w:rtl w:val="0"/>
        </w:rPr>
        <w:t xml:space="preserve">Revista de Políticas Públicas</w:t>
      </w:r>
      <w:r w:rsidDel="00000000" w:rsidR="00000000" w:rsidRPr="00000000">
        <w:rPr>
          <w:rFonts w:ascii="Times New Roman" w:cs="Times New Roman" w:eastAsia="Times New Roman" w:hAnsi="Times New Roman"/>
          <w:sz w:val="24"/>
          <w:szCs w:val="24"/>
          <w:rtl w:val="0"/>
        </w:rPr>
        <w:t xml:space="preserve">, v. 10, p. 165-185, 2006. </w:t>
      </w:r>
    </w:p>
    <w:p w:rsidR="00000000" w:rsidDel="00000000" w:rsidP="00000000" w:rsidRDefault="00000000" w:rsidRPr="00000000" w14:paraId="000001D4">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NARVAZ, M. G.; KOLLER, S. H. Famílias e patriarcado: da prescrição normativa à subversão criativa. </w:t>
      </w:r>
      <w:r w:rsidDel="00000000" w:rsidR="00000000" w:rsidRPr="00000000">
        <w:rPr>
          <w:rFonts w:ascii="Times New Roman" w:cs="Times New Roman" w:eastAsia="Times New Roman" w:hAnsi="Times New Roman"/>
          <w:b w:val="1"/>
          <w:bCs w:val="1"/>
          <w:sz w:val="24"/>
          <w:szCs w:val="24"/>
          <w:rtl w:val="0"/>
        </w:rPr>
        <w:t xml:space="preserve">Psicologia &amp; Sociedade</w:t>
      </w:r>
      <w:r w:rsidDel="00000000" w:rsidR="00000000" w:rsidRPr="00000000">
        <w:rPr>
          <w:rFonts w:ascii="Times New Roman" w:cs="Times New Roman" w:eastAsia="Times New Roman" w:hAnsi="Times New Roman"/>
          <w:sz w:val="24"/>
          <w:szCs w:val="24"/>
          <w:rtl w:val="0"/>
        </w:rPr>
        <w:t xml:space="preserve">, 2006, jan./abr., v. 18, n. 1, p. 49-55. </w:t>
      </w:r>
    </w:p>
    <w:p w:rsidR="00000000" w:rsidDel="00000000" w:rsidP="00000000" w:rsidRDefault="00000000" w:rsidRPr="00000000" w14:paraId="000001D5">
      <w:pPr>
        <w:pBdr>
          <w:top w:color="auto" w:space="0" w:sz="0" w:val="none"/>
          <w:left w:color="auto" w:space="0" w:sz="0" w:val="none"/>
          <w:bottom w:color="auto" w:space="0" w:sz="0" w:val="none"/>
          <w:right w:color="auto" w:space="0" w:sz="0" w:val="none"/>
          <w:between w:color="auto" w:space="0" w:sz="0" w:val="none"/>
        </w:pBdr>
        <w:shd w:fill="ffffff" w:val="clear"/>
        <w:spacing w:before="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PAULA, V.. Abuso sexual intrafamiliar, as Varas da Família e os meandros da perícia social em Serviço Social. </w:t>
      </w:r>
      <w:r w:rsidDel="00000000" w:rsidR="00000000" w:rsidRPr="00000000">
        <w:rPr>
          <w:rFonts w:ascii="Times New Roman" w:cs="Times New Roman" w:eastAsia="Times New Roman" w:hAnsi="Times New Roman"/>
          <w:b w:val="1"/>
          <w:bCs w:val="1"/>
          <w:sz w:val="24"/>
          <w:szCs w:val="24"/>
          <w:rtl w:val="0"/>
        </w:rPr>
        <w:t xml:space="preserve">Serviço Social &amp; Sociedade</w:t>
      </w:r>
      <w:r w:rsidDel="00000000" w:rsidR="00000000" w:rsidRPr="00000000">
        <w:rPr>
          <w:rFonts w:ascii="Times New Roman" w:cs="Times New Roman" w:eastAsia="Times New Roman" w:hAnsi="Times New Roman"/>
          <w:sz w:val="24"/>
          <w:szCs w:val="24"/>
          <w:rtl w:val="0"/>
        </w:rPr>
        <w:t xml:space="preserve">, 2023, v. 146, n. 1, p. 224–243. </w:t>
      </w:r>
    </w:p>
    <w:p w:rsidR="00000000" w:rsidDel="00000000" w:rsidP="00000000" w:rsidRDefault="00000000" w:rsidRPr="00000000" w14:paraId="000001D6">
      <w:pPr>
        <w:pBdr>
          <w:top w:color="auto" w:space="0" w:sz="0" w:val="none"/>
          <w:left w:color="auto" w:space="0" w:sz="0" w:val="none"/>
          <w:bottom w:color="auto" w:space="0" w:sz="0" w:val="none"/>
          <w:right w:color="auto" w:space="0" w:sz="0" w:val="none"/>
          <w:between w:color="auto" w:space="0" w:sz="0" w:val="none"/>
        </w:pBdr>
        <w:shd w:fill="ffffff" w:val="clear"/>
        <w:spacing w:before="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SAFFIOTI, H. I. B. A exploração sexual de meninas e adolescentes: aspectos históricos e sociais. </w:t>
      </w:r>
      <w:r w:rsidDel="00000000" w:rsidR="00000000" w:rsidRPr="00000000">
        <w:rPr>
          <w:rFonts w:ascii="Times New Roman" w:cs="Times New Roman" w:eastAsia="Times New Roman" w:hAnsi="Times New Roman"/>
          <w:i w:val="1"/>
          <w:iCs w:val="1"/>
          <w:sz w:val="24"/>
          <w:szCs w:val="24"/>
          <w:rtl w:val="0"/>
        </w:rPr>
        <w:t xml:space="preserve">In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Exploração sexual de meninas e adolescentes no Brasil</w:t>
      </w:r>
      <w:r w:rsidDel="00000000" w:rsidR="00000000" w:rsidRPr="00000000">
        <w:rPr>
          <w:rFonts w:ascii="Times New Roman" w:cs="Times New Roman" w:eastAsia="Times New Roman" w:hAnsi="Times New Roman"/>
          <w:sz w:val="24"/>
          <w:szCs w:val="24"/>
          <w:rtl w:val="0"/>
        </w:rPr>
        <w:t xml:space="preserve">. Leal, M. L. P.; Bontempo, D.; Bosetti, E. &amp; César, M. A. (org). Brasília: UNESCO/CECRIA, 1995. p. 17-25. </w:t>
      </w:r>
    </w:p>
    <w:p w:rsidR="00000000" w:rsidDel="00000000" w:rsidP="00000000" w:rsidRDefault="00000000" w:rsidRPr="00000000" w14:paraId="000001D7">
      <w:pPr>
        <w:pBdr>
          <w:top w:color="auto" w:space="0" w:sz="0" w:val="none"/>
          <w:left w:color="auto" w:space="0" w:sz="0" w:val="none"/>
          <w:bottom w:color="auto" w:space="0" w:sz="0" w:val="none"/>
          <w:right w:color="auto" w:space="0" w:sz="0" w:val="none"/>
          <w:between w:color="auto" w:space="0" w:sz="0" w:val="none"/>
        </w:pBdr>
        <w:shd w:fill="ffffff" w:val="clear"/>
        <w:spacing w:before="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SAFFIOTI, H. I. B. </w:t>
      </w:r>
      <w:r w:rsidDel="00000000" w:rsidR="00000000" w:rsidRPr="00000000">
        <w:rPr>
          <w:rFonts w:ascii="Times New Roman" w:cs="Times New Roman" w:eastAsia="Times New Roman" w:hAnsi="Times New Roman"/>
          <w:b w:val="1"/>
          <w:bCs w:val="1"/>
          <w:sz w:val="24"/>
          <w:szCs w:val="24"/>
          <w:rtl w:val="0"/>
        </w:rPr>
        <w:t xml:space="preserve">Gênero, patriarcado, violência.</w:t>
      </w:r>
      <w:r w:rsidDel="00000000" w:rsidR="00000000" w:rsidRPr="00000000">
        <w:rPr>
          <w:rFonts w:ascii="Times New Roman" w:cs="Times New Roman" w:eastAsia="Times New Roman" w:hAnsi="Times New Roman"/>
          <w:sz w:val="24"/>
          <w:szCs w:val="24"/>
          <w:rtl w:val="0"/>
        </w:rPr>
        <w:t xml:space="preserve"> 2ª ed. São Paulo: Expressão Popular: Fundação Perseu Abramo, 2015. </w:t>
      </w:r>
    </w:p>
    <w:p w:rsidR="00000000" w:rsidDel="00000000" w:rsidP="00000000" w:rsidRDefault="00000000" w:rsidRPr="00000000" w14:paraId="000001D8">
      <w:pPr>
        <w:pBdr>
          <w:top w:color="auto" w:space="0" w:sz="0" w:val="none"/>
          <w:left w:color="auto" w:space="0" w:sz="0" w:val="none"/>
          <w:bottom w:color="auto" w:space="0" w:sz="0" w:val="none"/>
          <w:right w:color="auto" w:space="0" w:sz="0" w:val="none"/>
          <w:between w:color="auto" w:space="0" w:sz="0" w:val="none"/>
        </w:pBdr>
        <w:shd w:fill="ffffff" w:val="clear"/>
        <w:spacing w:before="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SAFFIOTI, H. I. B. </w:t>
      </w:r>
      <w:r w:rsidDel="00000000" w:rsidR="00000000" w:rsidRPr="00000000">
        <w:rPr>
          <w:rFonts w:ascii="Times New Roman" w:cs="Times New Roman" w:eastAsia="Times New Roman" w:hAnsi="Times New Roman"/>
          <w:b w:val="1"/>
          <w:bCs w:val="1"/>
          <w:sz w:val="24"/>
          <w:szCs w:val="24"/>
          <w:rtl w:val="0"/>
        </w:rPr>
        <w:t xml:space="preserve">O poder do macho.</w:t>
      </w:r>
      <w:r w:rsidDel="00000000" w:rsidR="00000000" w:rsidRPr="00000000">
        <w:rPr>
          <w:rFonts w:ascii="Times New Roman" w:cs="Times New Roman" w:eastAsia="Times New Roman" w:hAnsi="Times New Roman"/>
          <w:sz w:val="24"/>
          <w:szCs w:val="24"/>
          <w:rtl w:val="0"/>
        </w:rPr>
        <w:t xml:space="preserve"> São Paulo: Editora Moderna, 1987. </w:t>
      </w:r>
    </w:p>
    <w:p w:rsidR="00000000" w:rsidDel="00000000" w:rsidP="00000000" w:rsidRDefault="00000000" w:rsidRPr="00000000" w14:paraId="000001D9">
      <w:pPr>
        <w:pBdr>
          <w:top w:color="auto" w:space="0" w:sz="0" w:val="none"/>
          <w:left w:color="auto" w:space="0" w:sz="0" w:val="none"/>
          <w:bottom w:color="auto" w:space="0" w:sz="0" w:val="none"/>
          <w:right w:color="auto" w:space="0" w:sz="0" w:val="none"/>
          <w:between w:color="auto" w:space="0" w:sz="0" w:val="none"/>
        </w:pBdr>
        <w:shd w:fill="ffffff" w:val="clear"/>
        <w:spacing w:before="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SAFFIOTI, H. I. B. </w:t>
      </w:r>
      <w:r w:rsidDel="00000000" w:rsidR="00000000" w:rsidRPr="00000000">
        <w:rPr>
          <w:rFonts w:ascii="Times New Roman" w:cs="Times New Roman" w:eastAsia="Times New Roman" w:hAnsi="Times New Roman"/>
          <w:b w:val="1"/>
          <w:bCs w:val="1"/>
          <w:sz w:val="24"/>
          <w:szCs w:val="24"/>
          <w:rtl w:val="0"/>
        </w:rPr>
        <w:t xml:space="preserve">Violência de gênero: </w:t>
      </w:r>
      <w:r w:rsidDel="00000000" w:rsidR="00000000" w:rsidRPr="00000000">
        <w:rPr>
          <w:rFonts w:ascii="Times New Roman" w:cs="Times New Roman" w:eastAsia="Times New Roman" w:hAnsi="Times New Roman"/>
          <w:sz w:val="24"/>
          <w:szCs w:val="24"/>
          <w:rtl w:val="0"/>
        </w:rPr>
        <w:t xml:space="preserve">Poder e Impotência. Rio de Janeiro: Livraria e Editora Revinter, 1995.</w:t>
      </w:r>
    </w:p>
    <w:p w:rsidR="00000000" w:rsidDel="00000000" w:rsidP="00000000" w:rsidRDefault="00000000" w:rsidRPr="00000000" w14:paraId="000001DA">
      <w:pPr>
        <w:pBdr>
          <w:top w:color="auto" w:space="0" w:sz="0" w:val="none"/>
          <w:left w:color="auto" w:space="0" w:sz="0" w:val="none"/>
          <w:bottom w:color="auto" w:space="0" w:sz="0" w:val="none"/>
          <w:right w:color="auto" w:space="0" w:sz="0" w:val="none"/>
          <w:between w:color="auto" w:space="0" w:sz="0" w:val="none"/>
        </w:pBdr>
        <w:shd w:fill="ffffff" w:val="clear"/>
        <w:spacing w:before="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SANTOS, S. M. M.; OLIVEIRA, L.. Igualdade nas relações de gênero na sociedade do capital: limites, contradições e avanços. </w:t>
      </w:r>
      <w:r w:rsidDel="00000000" w:rsidR="00000000" w:rsidRPr="00000000">
        <w:rPr>
          <w:rFonts w:ascii="Times New Roman" w:cs="Times New Roman" w:eastAsia="Times New Roman" w:hAnsi="Times New Roman"/>
          <w:b w:val="1"/>
          <w:bCs w:val="1"/>
          <w:sz w:val="24"/>
          <w:szCs w:val="24"/>
          <w:rtl w:val="0"/>
        </w:rPr>
        <w:t xml:space="preserve">Revista Katálysis</w:t>
      </w:r>
      <w:r w:rsidDel="00000000" w:rsidR="00000000" w:rsidRPr="00000000">
        <w:rPr>
          <w:rFonts w:ascii="Times New Roman" w:cs="Times New Roman" w:eastAsia="Times New Roman" w:hAnsi="Times New Roman"/>
          <w:sz w:val="24"/>
          <w:szCs w:val="24"/>
          <w:rtl w:val="0"/>
        </w:rPr>
        <w:t xml:space="preserve">, v. 13, n. 1, p. 11–19, jan. 2010. </w:t>
      </w:r>
    </w:p>
    <w:p w:rsidR="00000000" w:rsidDel="00000000" w:rsidP="00000000" w:rsidRDefault="00000000" w:rsidRPr="00000000" w14:paraId="000001DB">
      <w:pPr>
        <w:pBdr>
          <w:top w:color="auto" w:space="0" w:sz="0" w:val="none"/>
          <w:left w:color="auto" w:space="0" w:sz="0" w:val="none"/>
          <w:bottom w:color="auto" w:space="0" w:sz="0" w:val="none"/>
          <w:right w:color="auto" w:space="0" w:sz="0" w:val="none"/>
          <w:between w:color="auto" w:space="0" w:sz="0" w:val="none"/>
        </w:pBdr>
        <w:shd w:fill="ffffff" w:val="clear"/>
        <w:spacing w:before="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WAISELFISZ, J. J. </w:t>
      </w:r>
      <w:r w:rsidDel="00000000" w:rsidR="00000000" w:rsidRPr="00000000">
        <w:rPr>
          <w:rFonts w:ascii="Times New Roman" w:cs="Times New Roman" w:eastAsia="Times New Roman" w:hAnsi="Times New Roman"/>
          <w:b w:val="1"/>
          <w:bCs w:val="1"/>
          <w:sz w:val="24"/>
          <w:szCs w:val="24"/>
          <w:rtl w:val="0"/>
        </w:rPr>
        <w:t xml:space="preserve">Mapa da Violência 2012</w:t>
      </w:r>
      <w:r w:rsidDel="00000000" w:rsidR="00000000" w:rsidRPr="00000000">
        <w:rPr>
          <w:rFonts w:ascii="Times New Roman" w:cs="Times New Roman" w:eastAsia="Times New Roman" w:hAnsi="Times New Roman"/>
          <w:sz w:val="24"/>
          <w:szCs w:val="24"/>
          <w:rtl w:val="0"/>
        </w:rPr>
        <w:t xml:space="preserve"> - crianças e adolescentes do Brasil, RJ: 2012.</w:t>
      </w:r>
    </w:p>
    <w:p w:rsidR="00000000" w:rsidDel="00000000" w:rsidP="00000000" w:rsidRDefault="00000000" w:rsidRPr="00000000" w14:paraId="000001DC">
      <w:pPr>
        <w:pBdr>
          <w:top w:color="auto" w:space="0" w:sz="0" w:val="none"/>
          <w:left w:color="auto" w:space="0" w:sz="0" w:val="none"/>
          <w:bottom w:color="auto" w:space="0" w:sz="0" w:val="none"/>
          <w:right w:color="auto" w:space="0" w:sz="0" w:val="none"/>
          <w:between w:color="auto" w:space="0" w:sz="0" w:val="none"/>
        </w:pBdr>
        <w:shd w:fill="ffffff" w:val="clear"/>
        <w:spacing w:before="200" w:line="240" w:lineRule="auto"/>
        <w:jc w:val="both"/>
        <w:rPr/>
      </w:pPr>
      <w:r w:rsidDel="00000000" w:rsidR="00000000" w:rsidRPr="00000000">
        <w:rPr>
          <w:rFonts w:ascii="Times New Roman" w:cs="Times New Roman" w:eastAsia="Times New Roman" w:hAnsi="Times New Roman"/>
          <w:sz w:val="24"/>
          <w:szCs w:val="24"/>
          <w:rtl w:val="0"/>
        </w:rPr>
        <w:t xml:space="preserve">ZANELLO, V. </w:t>
      </w:r>
      <w:r w:rsidDel="00000000" w:rsidR="00000000" w:rsidRPr="00000000">
        <w:rPr>
          <w:rFonts w:ascii="Times New Roman" w:cs="Times New Roman" w:eastAsia="Times New Roman" w:hAnsi="Times New Roman"/>
          <w:b w:val="1"/>
          <w:bCs w:val="1"/>
          <w:sz w:val="24"/>
          <w:szCs w:val="24"/>
          <w:rtl w:val="0"/>
        </w:rPr>
        <w:t xml:space="preserve">Prateleira do amor:</w:t>
      </w:r>
      <w:r w:rsidDel="00000000" w:rsidR="00000000" w:rsidRPr="00000000">
        <w:rPr>
          <w:rFonts w:ascii="Times New Roman" w:cs="Times New Roman" w:eastAsia="Times New Roman" w:hAnsi="Times New Roman"/>
          <w:sz w:val="24"/>
          <w:szCs w:val="24"/>
          <w:rtl w:val="0"/>
        </w:rPr>
        <w:t xml:space="preserve"> sobre mulheres, homens e relações. Curitiba: Ed. Appris, 2022.</w:t>
      </w:r>
      <w:r w:rsidDel="00000000" w:rsidR="00000000" w:rsidRPr="00000000">
        <w:rPr>
          <w:rtl w:val="0"/>
        </w:rPr>
      </w:r>
    </w:p>
    <w:sectPr>
      <w:headerReference r:id="rId36" w:type="default"/>
      <w:type w:val="nextPage"/>
      <w:pgSz w:h="16838" w:w="11906" w:orient="portrait"/>
      <w:pgMar w:bottom="1133.8582677165355" w:top="1700.7874015748032" w:left="1700.7874015748032" w:right="1133.8582677165355" w:header="1133.8582677165355" w:footer="0"/>
      <w:pgNumType w:start="1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D">
    <w:pPr>
      <w:rPr>
        <w:vertAlign w:val="superscript"/>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DD">
      <w:pPr>
        <w:spacing w:after="30" w:before="30" w:line="240" w:lineRule="auto"/>
        <w:jc w:val="both"/>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highlight w:val="white"/>
          <w:rtl w:val="0"/>
        </w:rPr>
        <w:t xml:space="preserve">As identidades de gênero, hoje em dia representadas pelas siglas LGBTQIAPN+, se refere a um conjunto de orientações sexuais e identidades - para além da heteronormatividade e da cisnormatividade, buscando identificação no âmbito social -. O significado das siglas:  Lésbicas, Gays, Bissexuais, Transexuais, Travestis, Queer, Intersexo, Assexuais, Pansexuais e Não-binárie, com o sinal de "mais" (+) a indicar a inclusão de outras identidades e experiências diversas.  </w:t>
      </w:r>
      <w:r w:rsidDel="00000000" w:rsidR="00000000" w:rsidRPr="00000000">
        <w:rPr>
          <w:rtl w:val="0"/>
        </w:rPr>
      </w:r>
    </w:p>
  </w:footnote>
  <w:footnote w:id="1">
    <w:p w:rsidR="00000000" w:rsidDel="00000000" w:rsidP="00000000" w:rsidRDefault="00000000" w:rsidRPr="00000000" w14:paraId="000001DE">
      <w:pPr>
        <w:spacing w:after="30" w:before="30" w:line="240" w:lineRule="auto"/>
        <w:jc w:val="both"/>
        <w:rPr>
          <w:rFonts w:ascii="Times New Roman" w:cs="Times New Roman" w:eastAsia="Times New Roman" w:hAnsi="Times New Roman"/>
          <w:sz w:val="20"/>
          <w:szCs w:val="20"/>
          <w:vertAlign w:val="superscript"/>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highlight w:val="white"/>
          <w:rtl w:val="0"/>
        </w:rPr>
        <w:t xml:space="preserve">“Gênero responde à necessidade de se diferenciar o sexo biológico de sua tradução social em papéis e comportamentos ditos femininos e masculinos, ao mesmo tempo que revela o lugar estrutural dado às mulheres – no Brasil, maioria populacional, minoria social”. Trecho do texto “Violência sexual: tecendo redes para cuidar de mulheres” das autoras Paula Land Curi, Luciana da Silva Oliveira e Lízia Paes Ramos Fiaux, na organização de Ludmila Fontenele Cavalcanti (2022). </w:t>
      </w:r>
      <w:r w:rsidDel="00000000" w:rsidR="00000000" w:rsidRPr="00000000">
        <w:rPr>
          <w:rtl w:val="0"/>
        </w:rPr>
      </w:r>
    </w:p>
  </w:footnote>
  <w:footnote w:id="2">
    <w:p w:rsidR="00000000" w:rsidDel="00000000" w:rsidP="00000000" w:rsidRDefault="00000000" w:rsidRPr="00000000" w14:paraId="000001DF">
      <w:pPr>
        <w:spacing w:after="30" w:before="30" w:line="240" w:lineRule="auto"/>
        <w:jc w:val="both"/>
        <w:rPr>
          <w:sz w:val="20"/>
          <w:szCs w:val="20"/>
          <w:vertAlign w:val="superscript"/>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highlight w:val="white"/>
          <w:rtl w:val="0"/>
        </w:rPr>
        <w:t xml:space="preserve">“Família” enquanto resultado de organizações humanas que sofreram transformações ao longo da história, de acordo com as necessidades que se apresentaram e com os interesses dominantes, conforme os cenários sócio-históricos que se apresentaram (e se apresentam) (Narvaz e Koller, 2006).</w:t>
      </w:r>
      <w:r w:rsidDel="00000000" w:rsidR="00000000" w:rsidRPr="00000000">
        <w:rPr>
          <w:rtl w:val="0"/>
        </w:rPr>
      </w:r>
    </w:p>
  </w:footnote>
  <w:footnote w:id="3">
    <w:p w:rsidR="00000000" w:rsidDel="00000000" w:rsidP="00000000" w:rsidRDefault="00000000" w:rsidRPr="00000000" w14:paraId="000001E0">
      <w:pPr>
        <w:spacing w:after="30" w:before="30" w:line="240" w:lineRule="auto"/>
        <w:jc w:val="both"/>
        <w:rPr>
          <w:rFonts w:ascii="Times New Roman" w:cs="Times New Roman" w:eastAsia="Times New Roman" w:hAnsi="Times New Roman"/>
          <w:sz w:val="20"/>
          <w:szCs w:val="20"/>
          <w:vertAlign w:val="superscript"/>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highlight w:val="white"/>
          <w:rtl w:val="0"/>
        </w:rPr>
        <w:t xml:space="preserve">A configuração familiar analisada neste trabalho está centrada no que chamamos de família nuclear burguesa (Álvares e José Filho, 2008), formada pela tríade: pai (homem cisgênero e hétero; provedor do lar e autoridade), mãe (mulher cisgênero e hétero; manutenção dos cuidados à casa e aos filhos) e filhos - nela, há a clara presença do patriarcado em forte expressão; entretanto, existem também outras formas de configurações familiares com diversos arranjos, como por exemplo as famílias monoparentais (chefiadas por apenas um adulto – seja homem ou mulher, mas em maioria brasileira são mulheres negras e periféricas - e seus filhos) ou homoparentais (constituído de um casal homoafetivo e seus filhos), o que reflete as transformações socioculturais que ocorrem no mundo contemporâneo.</w:t>
      </w:r>
      <w:r w:rsidDel="00000000" w:rsidR="00000000" w:rsidRPr="00000000">
        <w:rPr>
          <w:rtl w:val="0"/>
        </w:rPr>
      </w:r>
    </w:p>
  </w:footnote>
  <w:footnote w:id="5">
    <w:p w:rsidR="00000000" w:rsidDel="00000000" w:rsidP="00000000" w:rsidRDefault="00000000" w:rsidRPr="00000000" w14:paraId="000001E1">
      <w:pPr>
        <w:spacing w:after="30" w:before="30" w:line="240" w:lineRule="auto"/>
        <w:jc w:val="both"/>
        <w:rPr>
          <w:rFonts w:ascii="Times New Roman" w:cs="Times New Roman" w:eastAsia="Times New Roman" w:hAnsi="Times New Roman"/>
          <w:sz w:val="20"/>
          <w:szCs w:val="20"/>
          <w:vertAlign w:val="superscript"/>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highlight w:val="white"/>
          <w:rtl w:val="0"/>
        </w:rPr>
        <w:t xml:space="preserve">A Organização Childhood disponibiliza em seu site um “Glossário da violência sexual contra crianças e adolescentes” que pode ser acessado através do link: </w:t>
      </w:r>
      <w:hyperlink r:id="rId1">
        <w:r w:rsidDel="00000000" w:rsidR="00000000" w:rsidRPr="00000000">
          <w:rPr>
            <w:rFonts w:ascii="Times New Roman" w:cs="Times New Roman" w:eastAsia="Times New Roman" w:hAnsi="Times New Roman"/>
            <w:color w:val="1155cc"/>
            <w:sz w:val="20"/>
            <w:szCs w:val="20"/>
            <w:highlight w:val="white"/>
            <w:u w:val="single"/>
            <w:rtl w:val="0"/>
          </w:rPr>
          <w:t xml:space="preserve">https://www.childhood.org.br/glossario-da-causa/</w:t>
        </w:r>
      </w:hyperlink>
      <w:r w:rsidDel="00000000" w:rsidR="00000000" w:rsidRPr="00000000">
        <w:rPr>
          <w:rFonts w:ascii="Times New Roman" w:cs="Times New Roman" w:eastAsia="Times New Roman" w:hAnsi="Times New Roman"/>
          <w:sz w:val="20"/>
          <w:szCs w:val="20"/>
          <w:highlight w:val="white"/>
          <w:rtl w:val="0"/>
        </w:rPr>
        <w:t xml:space="preserve">.</w:t>
      </w:r>
      <w:r w:rsidDel="00000000" w:rsidR="00000000" w:rsidRPr="00000000">
        <w:rPr>
          <w:rtl w:val="0"/>
        </w:rPr>
      </w:r>
    </w:p>
  </w:footnote>
  <w:footnote w:id="6">
    <w:p w:rsidR="00000000" w:rsidDel="00000000" w:rsidP="00000000" w:rsidRDefault="00000000" w:rsidRPr="00000000" w14:paraId="000001E2">
      <w:pPr>
        <w:spacing w:after="30" w:before="30" w:line="240" w:lineRule="auto"/>
        <w:jc w:val="both"/>
        <w:rPr>
          <w:rFonts w:ascii="Times New Roman" w:cs="Times New Roman" w:eastAsia="Times New Roman" w:hAnsi="Times New Roman"/>
          <w:sz w:val="20"/>
          <w:szCs w:val="20"/>
          <w:vertAlign w:val="superscript"/>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highlight w:val="white"/>
          <w:rtl w:val="0"/>
        </w:rPr>
        <w:t xml:space="preserve">Os dados nos quais se baseiam a “permanência” desse perfil traçado se referem à pesquisa publicada no Mapa da Violência de 2012. Mais informações em: WAISELFISZ, 2012.</w:t>
      </w:r>
      <w:r w:rsidDel="00000000" w:rsidR="00000000" w:rsidRPr="00000000">
        <w:rPr>
          <w:rtl w:val="0"/>
        </w:rPr>
      </w:r>
    </w:p>
  </w:footnote>
  <w:footnote w:id="7">
    <w:p w:rsidR="00000000" w:rsidDel="00000000" w:rsidP="00000000" w:rsidRDefault="00000000" w:rsidRPr="00000000" w14:paraId="000001E3">
      <w:pPr>
        <w:spacing w:after="30" w:before="30" w:line="240" w:lineRule="auto"/>
        <w:jc w:val="both"/>
        <w:rPr>
          <w:rFonts w:ascii="Times New Roman" w:cs="Times New Roman" w:eastAsia="Times New Roman" w:hAnsi="Times New Roman"/>
          <w:sz w:val="20"/>
          <w:szCs w:val="20"/>
          <w:vertAlign w:val="superscript"/>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vertAlign w:val="superscript"/>
          <w:rtl w:val="0"/>
        </w:rPr>
        <w:t xml:space="preserve"> </w:t>
      </w:r>
      <w:r w:rsidDel="00000000" w:rsidR="00000000" w:rsidRPr="00000000">
        <w:rPr>
          <w:rFonts w:ascii="Times New Roman" w:cs="Times New Roman" w:eastAsia="Times New Roman" w:hAnsi="Times New Roman"/>
          <w:sz w:val="20"/>
          <w:szCs w:val="20"/>
          <w:highlight w:val="white"/>
          <w:rtl w:val="0"/>
        </w:rPr>
        <w:t xml:space="preserve">O 3º Relatório de Transparência Salarial divulgou resultados acerca da disparidad salarial entre homens e mulheres no Brasil. Mais informações podem ser acessadas no site do </w:t>
      </w:r>
      <w:r w:rsidDel="00000000" w:rsidR="00000000" w:rsidRPr="00000000">
        <w:rPr>
          <w:rFonts w:ascii="Times New Roman" w:cs="Times New Roman" w:eastAsia="Times New Roman" w:hAnsi="Times New Roman"/>
          <w:sz w:val="20"/>
          <w:szCs w:val="20"/>
          <w:highlight w:val="white"/>
          <w:rtl w:val="0"/>
        </w:rPr>
        <w:t xml:space="preserve">Gov.br</w:t>
      </w:r>
      <w:r w:rsidDel="00000000" w:rsidR="00000000" w:rsidRPr="00000000">
        <w:rPr>
          <w:rFonts w:ascii="Times New Roman" w:cs="Times New Roman" w:eastAsia="Times New Roman" w:hAnsi="Times New Roman"/>
          <w:sz w:val="20"/>
          <w:szCs w:val="20"/>
          <w:highlight w:val="white"/>
          <w:rtl w:val="0"/>
        </w:rPr>
        <w:t xml:space="preserve">, aba do Ministério do Trabalho e Emprego: </w:t>
      </w:r>
      <w:hyperlink r:id="rId2">
        <w:r w:rsidDel="00000000" w:rsidR="00000000" w:rsidRPr="00000000">
          <w:rPr>
            <w:rFonts w:ascii="Times New Roman" w:cs="Times New Roman" w:eastAsia="Times New Roman" w:hAnsi="Times New Roman"/>
            <w:color w:val="1155cc"/>
            <w:sz w:val="20"/>
            <w:szCs w:val="20"/>
            <w:highlight w:val="white"/>
            <w:u w:val="single"/>
            <w:rtl w:val="0"/>
          </w:rPr>
          <w:t xml:space="preserve">https://www.gov.br/trabalho-e-emprego/pt-br/noticias-e-conteudo/2025/abril/3o-relatorio-de-transparencia-salarial-mulheres-recebem-20-9-a-menos-do-que-os-homens</w:t>
        </w:r>
      </w:hyperlink>
      <w:r w:rsidDel="00000000" w:rsidR="00000000" w:rsidRPr="00000000">
        <w:rPr>
          <w:rFonts w:ascii="Times New Roman" w:cs="Times New Roman" w:eastAsia="Times New Roman" w:hAnsi="Times New Roman"/>
          <w:sz w:val="20"/>
          <w:szCs w:val="20"/>
          <w:highlight w:val="white"/>
          <w:rtl w:val="0"/>
        </w:rPr>
        <w:t xml:space="preserve">.</w:t>
      </w:r>
      <w:r w:rsidDel="00000000" w:rsidR="00000000" w:rsidRPr="00000000">
        <w:rPr>
          <w:rtl w:val="0"/>
        </w:rPr>
      </w:r>
    </w:p>
  </w:footnote>
  <w:footnote w:id="8">
    <w:p w:rsidR="00000000" w:rsidDel="00000000" w:rsidP="00000000" w:rsidRDefault="00000000" w:rsidRPr="00000000" w14:paraId="000001E4">
      <w:pPr>
        <w:spacing w:after="30" w:before="30" w:line="240" w:lineRule="auto"/>
        <w:jc w:val="both"/>
        <w:rPr>
          <w:rFonts w:ascii="Times New Roman" w:cs="Times New Roman" w:eastAsia="Times New Roman" w:hAnsi="Times New Roman"/>
          <w:sz w:val="20"/>
          <w:szCs w:val="20"/>
          <w:vertAlign w:val="superscript"/>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highlight w:val="white"/>
          <w:rtl w:val="0"/>
        </w:rPr>
        <w:t xml:space="preserve">Os casos de abuso sexual contra crianças e adolescentes que ocorrem dentro do âmbito familiar, em uma grande parte, não são denunciados por inúmeros fatores, o que contribui para a subnotificação de casos oficializados.</w:t>
      </w:r>
      <w:r w:rsidDel="00000000" w:rsidR="00000000" w:rsidRPr="00000000">
        <w:rPr>
          <w:rtl w:val="0"/>
        </w:rPr>
      </w:r>
    </w:p>
  </w:footnote>
  <w:footnote w:id="9">
    <w:p w:rsidR="00000000" w:rsidDel="00000000" w:rsidP="00000000" w:rsidRDefault="00000000" w:rsidRPr="00000000" w14:paraId="000001E5">
      <w:pPr>
        <w:spacing w:after="30" w:before="30" w:line="240" w:lineRule="auto"/>
        <w:jc w:val="both"/>
        <w:rPr>
          <w:rFonts w:ascii="Times New Roman" w:cs="Times New Roman" w:eastAsia="Times New Roman" w:hAnsi="Times New Roman"/>
          <w:sz w:val="20"/>
          <w:szCs w:val="20"/>
          <w:vertAlign w:val="superscript"/>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highlight w:val="white"/>
          <w:rtl w:val="0"/>
        </w:rPr>
        <w:t xml:space="preserve">Na forma acidental, uma terceira pessoa pode flagrar uma situação considerada “estranha” ou observar mudança de comportamento do agressor e/ou da vítima; na forma proposital, a criança ou adolescente vítima decide contar para outra pessoa de confiança - seja por identificar a situação como violência e entender que é errado, seja por interpretar como algo natural e interessante que deva ser compartilhado; a motivação da revelação pode ser influenciada pela idade da vítima.</w:t>
      </w:r>
      <w:r w:rsidDel="00000000" w:rsidR="00000000" w:rsidRPr="00000000">
        <w:rPr>
          <w:rtl w:val="0"/>
        </w:rPr>
      </w:r>
    </w:p>
  </w:footnote>
  <w:footnote w:id="11">
    <w:p w:rsidR="00000000" w:rsidDel="00000000" w:rsidP="00000000" w:rsidRDefault="00000000" w:rsidRPr="00000000" w14:paraId="000001E6">
      <w:pPr>
        <w:spacing w:after="30" w:before="30" w:line="240" w:lineRule="auto"/>
        <w:jc w:val="both"/>
        <w:rPr>
          <w:rFonts w:ascii="Times New Roman" w:cs="Times New Roman" w:eastAsia="Times New Roman" w:hAnsi="Times New Roman"/>
          <w:sz w:val="20"/>
          <w:szCs w:val="20"/>
          <w:vertAlign w:val="superscript"/>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highlight w:val="white"/>
          <w:rtl w:val="0"/>
        </w:rPr>
        <w:t xml:space="preserve">Trecho da música “Rio 40 Graus” de composição de Fausto Fawcett, Fernanda Abreu, Allen Shamblin e Andre Young; interpretada por Fernanda Abreu.</w:t>
      </w:r>
      <w:r w:rsidDel="00000000" w:rsidR="00000000" w:rsidRPr="00000000">
        <w:rPr>
          <w:rtl w:val="0"/>
        </w:rPr>
      </w:r>
    </w:p>
  </w:footnote>
  <w:footnote w:id="12">
    <w:p w:rsidR="00000000" w:rsidDel="00000000" w:rsidP="00000000" w:rsidRDefault="00000000" w:rsidRPr="00000000" w14:paraId="000001E7">
      <w:pPr>
        <w:spacing w:after="30" w:before="30" w:line="240" w:lineRule="auto"/>
        <w:jc w:val="both"/>
        <w:rPr>
          <w:rFonts w:ascii="Times New Roman" w:cs="Times New Roman" w:eastAsia="Times New Roman" w:hAnsi="Times New Roman"/>
          <w:sz w:val="20"/>
          <w:szCs w:val="20"/>
          <w:vertAlign w:val="superscript"/>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highlight w:val="white"/>
          <w:rtl w:val="0"/>
        </w:rPr>
        <w:t xml:space="preserve">A matéria que referencia os dados trazidos pode ser vista no site do G1: </w:t>
      </w:r>
      <w:hyperlink r:id="rId3">
        <w:r w:rsidDel="00000000" w:rsidR="00000000" w:rsidRPr="00000000">
          <w:rPr>
            <w:rFonts w:ascii="Times New Roman" w:cs="Times New Roman" w:eastAsia="Times New Roman" w:hAnsi="Times New Roman"/>
            <w:color w:val="1155cc"/>
            <w:sz w:val="20"/>
            <w:szCs w:val="20"/>
            <w:highlight w:val="white"/>
            <w:u w:val="single"/>
            <w:rtl w:val="0"/>
          </w:rPr>
          <w:t xml:space="preserve">https://g1.globo.com/rj/rio-de-janeiro/noticia/2025/07/24/dados-anuario-da-violencia-e-isp-mostram-rj-com-menos-mortes-mais-roubos.ghtml</w:t>
        </w:r>
      </w:hyperlink>
      <w:r w:rsidDel="00000000" w:rsidR="00000000" w:rsidRPr="00000000">
        <w:rPr>
          <w:rFonts w:ascii="Times New Roman" w:cs="Times New Roman" w:eastAsia="Times New Roman" w:hAnsi="Times New Roman"/>
          <w:sz w:val="20"/>
          <w:szCs w:val="20"/>
          <w:highlight w:val="white"/>
          <w:rtl w:val="0"/>
        </w:rPr>
        <w:t xml:space="preserve">.</w:t>
      </w:r>
      <w:r w:rsidDel="00000000" w:rsidR="00000000" w:rsidRPr="00000000">
        <w:rPr>
          <w:rtl w:val="0"/>
        </w:rPr>
      </w:r>
    </w:p>
  </w:footnote>
  <w:footnote w:id="13">
    <w:p w:rsidR="00000000" w:rsidDel="00000000" w:rsidP="00000000" w:rsidRDefault="00000000" w:rsidRPr="00000000" w14:paraId="000001E8">
      <w:pPr>
        <w:spacing w:after="30" w:before="30" w:line="240" w:lineRule="auto"/>
        <w:jc w:val="both"/>
        <w:rPr>
          <w:rFonts w:ascii="Times New Roman" w:cs="Times New Roman" w:eastAsia="Times New Roman" w:hAnsi="Times New Roman"/>
          <w:sz w:val="20"/>
          <w:szCs w:val="20"/>
          <w:vertAlign w:val="superscript"/>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vertAlign w:val="superscript"/>
          <w:rtl w:val="0"/>
        </w:rPr>
        <w:t xml:space="preserve"> </w:t>
      </w:r>
      <w:r w:rsidDel="00000000" w:rsidR="00000000" w:rsidRPr="00000000">
        <w:rPr>
          <w:rFonts w:ascii="Times New Roman" w:cs="Times New Roman" w:eastAsia="Times New Roman" w:hAnsi="Times New Roman"/>
          <w:sz w:val="20"/>
          <w:szCs w:val="20"/>
          <w:highlight w:val="white"/>
          <w:rtl w:val="0"/>
        </w:rPr>
        <w:t xml:space="preserve">Mais informações sobre a Lei do Minuto Seguinte podem ser acessadas em: </w:t>
      </w:r>
      <w:hyperlink r:id="rId4">
        <w:r w:rsidDel="00000000" w:rsidR="00000000" w:rsidRPr="00000000">
          <w:rPr>
            <w:rFonts w:ascii="Times New Roman" w:cs="Times New Roman" w:eastAsia="Times New Roman" w:hAnsi="Times New Roman"/>
            <w:color w:val="1155cc"/>
            <w:sz w:val="20"/>
            <w:szCs w:val="20"/>
            <w:highlight w:val="white"/>
            <w:u w:val="single"/>
            <w:rtl w:val="0"/>
          </w:rPr>
          <w:t xml:space="preserve">https://leidominutoseguinte.mpf.mp.br/</w:t>
        </w:r>
      </w:hyperlink>
      <w:r w:rsidDel="00000000" w:rsidR="00000000" w:rsidRPr="00000000">
        <w:rPr>
          <w:rFonts w:ascii="Times New Roman" w:cs="Times New Roman" w:eastAsia="Times New Roman" w:hAnsi="Times New Roman"/>
          <w:sz w:val="20"/>
          <w:szCs w:val="20"/>
          <w:highlight w:val="white"/>
          <w:rtl w:val="0"/>
        </w:rPr>
        <w:t xml:space="preserve">.</w:t>
      </w:r>
      <w:r w:rsidDel="00000000" w:rsidR="00000000" w:rsidRPr="00000000">
        <w:rPr>
          <w:rtl w:val="0"/>
        </w:rPr>
      </w:r>
    </w:p>
  </w:footnote>
  <w:footnote w:id="14">
    <w:p w:rsidR="00000000" w:rsidDel="00000000" w:rsidP="00000000" w:rsidRDefault="00000000" w:rsidRPr="00000000" w14:paraId="000001E9">
      <w:pPr>
        <w:spacing w:after="30" w:before="30" w:line="240" w:lineRule="auto"/>
        <w:jc w:val="both"/>
        <w:rPr>
          <w:rFonts w:ascii="Times New Roman" w:cs="Times New Roman" w:eastAsia="Times New Roman" w:hAnsi="Times New Roman"/>
          <w:sz w:val="20"/>
          <w:szCs w:val="20"/>
          <w:vertAlign w:val="superscript"/>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vertAlign w:val="superscript"/>
          <w:rtl w:val="0"/>
        </w:rPr>
        <w:t xml:space="preserve"> </w:t>
      </w:r>
      <w:r w:rsidDel="00000000" w:rsidR="00000000" w:rsidRPr="00000000">
        <w:rPr>
          <w:rFonts w:ascii="Times New Roman" w:cs="Times New Roman" w:eastAsia="Times New Roman" w:hAnsi="Times New Roman"/>
          <w:sz w:val="20"/>
          <w:szCs w:val="20"/>
          <w:highlight w:val="white"/>
          <w:rtl w:val="0"/>
        </w:rPr>
        <w:t xml:space="preserve">Para maiores esclarecimentos acerca do PDL da Pedofilia, acesse: </w:t>
      </w:r>
      <w:hyperlink r:id="rId5">
        <w:r w:rsidDel="00000000" w:rsidR="00000000" w:rsidRPr="00000000">
          <w:rPr>
            <w:rFonts w:ascii="Times New Roman" w:cs="Times New Roman" w:eastAsia="Times New Roman" w:hAnsi="Times New Roman"/>
            <w:color w:val="1155cc"/>
            <w:sz w:val="20"/>
            <w:szCs w:val="20"/>
            <w:highlight w:val="white"/>
            <w:u w:val="single"/>
            <w:rtl w:val="0"/>
          </w:rPr>
          <w:t xml:space="preserve">https://horadopovo.com.br/deputados-aprovam-pdl-da-pedofilia-para-impedir-aborto-legal-em-criancas-vitimas-de-estupro/</w:t>
        </w:r>
      </w:hyperlink>
      <w:r w:rsidDel="00000000" w:rsidR="00000000" w:rsidRPr="00000000">
        <w:rPr>
          <w:rFonts w:ascii="Times New Roman" w:cs="Times New Roman" w:eastAsia="Times New Roman" w:hAnsi="Times New Roman"/>
          <w:sz w:val="20"/>
          <w:szCs w:val="20"/>
          <w:highlight w:val="white"/>
          <w:rtl w:val="0"/>
        </w:rPr>
        <w:t xml:space="preserve">.</w:t>
      </w:r>
      <w:r w:rsidDel="00000000" w:rsidR="00000000" w:rsidRPr="00000000">
        <w:rPr>
          <w:rtl w:val="0"/>
        </w:rPr>
      </w:r>
    </w:p>
  </w:footnote>
  <w:footnote w:id="17">
    <w:p w:rsidR="00000000" w:rsidDel="00000000" w:rsidP="00000000" w:rsidRDefault="00000000" w:rsidRPr="00000000" w14:paraId="000001EA">
      <w:pPr>
        <w:spacing w:after="30" w:before="30" w:line="240" w:lineRule="auto"/>
        <w:jc w:val="both"/>
        <w:rPr>
          <w:sz w:val="20"/>
          <w:szCs w:val="20"/>
          <w:vertAlign w:val="superscript"/>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highlight w:val="white"/>
          <w:rtl w:val="0"/>
        </w:rPr>
        <w:t xml:space="preserve">Para a melhor compreensão do contexto da categoria com relação ao DE, acesse: </w:t>
      </w:r>
      <w:hyperlink r:id="rId6">
        <w:r w:rsidDel="00000000" w:rsidR="00000000" w:rsidRPr="00000000">
          <w:rPr>
            <w:rFonts w:ascii="Times New Roman" w:cs="Times New Roman" w:eastAsia="Times New Roman" w:hAnsi="Times New Roman"/>
            <w:color w:val="1155cc"/>
            <w:sz w:val="20"/>
            <w:szCs w:val="20"/>
            <w:highlight w:val="white"/>
            <w:u w:val="single"/>
            <w:rtl w:val="0"/>
          </w:rPr>
          <w:t xml:space="preserve">https://www.cfess.org.br/arquivos/Nota-tecnica-escuta-especial-2019.pdf</w:t>
        </w:r>
      </w:hyperlink>
      <w:r w:rsidDel="00000000" w:rsidR="00000000" w:rsidRPr="00000000">
        <w:rPr>
          <w:rFonts w:ascii="Times New Roman" w:cs="Times New Roman" w:eastAsia="Times New Roman" w:hAnsi="Times New Roman"/>
          <w:sz w:val="20"/>
          <w:szCs w:val="20"/>
          <w:highlight w:val="white"/>
          <w:rtl w:val="0"/>
        </w:rPr>
        <w:t xml:space="preserve">.</w:t>
      </w:r>
      <w:r w:rsidDel="00000000" w:rsidR="00000000" w:rsidRPr="00000000">
        <w:rPr>
          <w:rtl w:val="0"/>
        </w:rPr>
      </w:r>
    </w:p>
  </w:footnote>
  <w:footnote w:id="18">
    <w:p w:rsidR="00000000" w:rsidDel="00000000" w:rsidP="00000000" w:rsidRDefault="00000000" w:rsidRPr="00000000" w14:paraId="000001F0">
      <w:pPr>
        <w:spacing w:after="0" w:line="240" w:lineRule="auto"/>
        <w:jc w:val="both"/>
        <w:rPr>
          <w:rFonts w:ascii="Times New Roman" w:cs="Times New Roman" w:eastAsia="Times New Roman" w:hAnsi="Times New Roman"/>
          <w:sz w:val="20"/>
          <w:szCs w:val="20"/>
          <w:vertAlign w:val="superscript"/>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vertAlign w:val="superscript"/>
          <w:rtl w:val="0"/>
        </w:rPr>
        <w:t xml:space="preserve"> </w:t>
      </w:r>
      <w:r w:rsidDel="00000000" w:rsidR="00000000" w:rsidRPr="00000000">
        <w:rPr>
          <w:rFonts w:ascii="Times New Roman" w:cs="Times New Roman" w:eastAsia="Times New Roman" w:hAnsi="Times New Roman"/>
          <w:sz w:val="20"/>
          <w:szCs w:val="20"/>
          <w:highlight w:val="white"/>
          <w:rtl w:val="0"/>
        </w:rPr>
        <w:t xml:space="preserve">“(...) instituído pela Lei nº 9.970, de 17 de maio de 2000, em memória da menina Araceli Cabrera Sánchez Crespo (...)” (Brasil, 2022), que foi vítima de um sequestro e uma sequência de violentas ações que ceifaram a sua vida em 1973. O Caso Araceli ganhou destaque nacional pelo desenrolar longo de sua trama, marcado por impunidade dos responsáveis, influência de autoridades policiais a fim de dificultar as investigações e, principalmente, por revelar tantas falhas no sistema de proteção integral à criança e ao adolescente, uma vez que o crime antecede a instituição do ECA em 1990. Matéria: </w:t>
      </w:r>
      <w:hyperlink r:id="rId7">
        <w:r w:rsidDel="00000000" w:rsidR="00000000" w:rsidRPr="00000000">
          <w:rPr>
            <w:rFonts w:ascii="Times New Roman" w:cs="Times New Roman" w:eastAsia="Times New Roman" w:hAnsi="Times New Roman"/>
            <w:color w:val="1155cc"/>
            <w:sz w:val="20"/>
            <w:szCs w:val="20"/>
            <w:highlight w:val="white"/>
            <w:u w:val="single"/>
            <w:rtl w:val="0"/>
          </w:rPr>
          <w:t xml:space="preserve">https://www.gov.br/memoriasreveladas/pt-br/assuntos/noticias/caso-araceli-estado-brasileiro-e-denunciado-a-oea</w:t>
        </w:r>
      </w:hyperlink>
      <w:r w:rsidDel="00000000" w:rsidR="00000000" w:rsidRPr="00000000">
        <w:rPr>
          <w:rFonts w:ascii="Times New Roman" w:cs="Times New Roman" w:eastAsia="Times New Roman" w:hAnsi="Times New Roman"/>
          <w:sz w:val="20"/>
          <w:szCs w:val="20"/>
          <w:highlight w:val="white"/>
          <w:rtl w:val="0"/>
        </w:rPr>
        <w:t xml:space="preserve">. </w:t>
      </w:r>
      <w:r w:rsidDel="00000000" w:rsidR="00000000" w:rsidRPr="00000000">
        <w:rPr>
          <w:rtl w:val="0"/>
        </w:rPr>
      </w:r>
    </w:p>
  </w:footnote>
  <w:footnote w:id="4">
    <w:p w:rsidR="00000000" w:rsidDel="00000000" w:rsidP="00000000" w:rsidRDefault="00000000" w:rsidRPr="00000000" w14:paraId="000001F1">
      <w:pPr>
        <w:spacing w:after="0" w:line="240" w:lineRule="auto"/>
        <w:jc w:val="both"/>
        <w:rPr>
          <w:rFonts w:ascii="Times New Roman" w:cs="Times New Roman" w:eastAsia="Times New Roman" w:hAnsi="Times New Roman"/>
          <w:sz w:val="20"/>
          <w:szCs w:val="20"/>
          <w:vertAlign w:val="superscript"/>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highlight w:val="white"/>
          <w:rtl w:val="0"/>
        </w:rPr>
        <w:t xml:space="preserve">Apesar de o termo da interseccionalidade ter sido elaborado a princípio por Crenshaw, temos também importantes contribuições de autoras como Ângela Davis e Lélia Gonzales na discussão e conceituação do termo.</w:t>
      </w:r>
      <w:r w:rsidDel="00000000" w:rsidR="00000000" w:rsidRPr="00000000">
        <w:rPr>
          <w:rtl w:val="0"/>
        </w:rPr>
      </w:r>
    </w:p>
  </w:footnote>
  <w:footnote w:id="10">
    <w:p w:rsidR="00000000" w:rsidDel="00000000" w:rsidP="00000000" w:rsidRDefault="00000000" w:rsidRPr="00000000" w14:paraId="000001F2">
      <w:pPr>
        <w:spacing w:after="0" w:line="240" w:lineRule="auto"/>
        <w:jc w:val="both"/>
        <w:rPr>
          <w:rFonts w:ascii="Times New Roman" w:cs="Times New Roman" w:eastAsia="Times New Roman" w:hAnsi="Times New Roman"/>
          <w:sz w:val="20"/>
          <w:szCs w:val="20"/>
          <w:vertAlign w:val="superscript"/>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vertAlign w:val="superscript"/>
          <w:rtl w:val="0"/>
        </w:rPr>
        <w:t xml:space="preserve"> </w:t>
      </w:r>
      <w:r w:rsidDel="00000000" w:rsidR="00000000" w:rsidRPr="00000000">
        <w:rPr>
          <w:rFonts w:ascii="Times New Roman" w:cs="Times New Roman" w:eastAsia="Times New Roman" w:hAnsi="Times New Roman"/>
          <w:sz w:val="20"/>
          <w:szCs w:val="20"/>
          <w:highlight w:val="white"/>
          <w:rtl w:val="0"/>
        </w:rPr>
        <w:t xml:space="preserve">A Lei Joanna Maranhão recebe este nome em referência à nadadora olímpica brasileira que sofreu abusos de seu treinador na infância e apenas conseguiu denunciá-lo na maioridade. Mais informações em: </w:t>
      </w:r>
      <w:hyperlink r:id="rId8">
        <w:r w:rsidDel="00000000" w:rsidR="00000000" w:rsidRPr="00000000">
          <w:rPr>
            <w:rFonts w:ascii="Times New Roman" w:cs="Times New Roman" w:eastAsia="Times New Roman" w:hAnsi="Times New Roman"/>
            <w:color w:val="1155cc"/>
            <w:sz w:val="20"/>
            <w:szCs w:val="20"/>
            <w:highlight w:val="white"/>
            <w:u w:val="single"/>
            <w:rtl w:val="0"/>
          </w:rPr>
          <w:t xml:space="preserve">https://www1.folha.uol.com.br/seminariosfolha/2019/05/vitimas-de-abuso-sexual-estao-cientes-de-que-sao-vitimas-de-fato-diz-joanna-maranhao.shtml</w:t>
        </w:r>
      </w:hyperlink>
      <w:r w:rsidDel="00000000" w:rsidR="00000000" w:rsidRPr="00000000">
        <w:rPr>
          <w:rFonts w:ascii="Times New Roman" w:cs="Times New Roman" w:eastAsia="Times New Roman" w:hAnsi="Times New Roman"/>
          <w:sz w:val="20"/>
          <w:szCs w:val="20"/>
          <w:highlight w:val="white"/>
          <w:rtl w:val="0"/>
        </w:rPr>
        <w:t xml:space="preserve">.</w:t>
      </w:r>
      <w:r w:rsidDel="00000000" w:rsidR="00000000" w:rsidRPr="00000000">
        <w:rPr>
          <w:rtl w:val="0"/>
        </w:rPr>
      </w:r>
    </w:p>
  </w:footnote>
  <w:footnote w:id="16">
    <w:p w:rsidR="00000000" w:rsidDel="00000000" w:rsidP="00000000" w:rsidRDefault="00000000" w:rsidRPr="00000000" w14:paraId="000001F3">
      <w:pPr>
        <w:spacing w:after="0" w:line="240" w:lineRule="auto"/>
        <w:jc w:val="both"/>
        <w:rPr>
          <w:rFonts w:ascii="Times New Roman" w:cs="Times New Roman" w:eastAsia="Times New Roman" w:hAnsi="Times New Roman"/>
          <w:sz w:val="20"/>
          <w:szCs w:val="20"/>
          <w:vertAlign w:val="superscript"/>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vertAlign w:val="superscript"/>
          <w:rtl w:val="0"/>
        </w:rPr>
        <w:t xml:space="preserve"> </w:t>
      </w:r>
      <w:r w:rsidDel="00000000" w:rsidR="00000000" w:rsidRPr="00000000">
        <w:rPr>
          <w:rFonts w:ascii="Times New Roman" w:cs="Times New Roman" w:eastAsia="Times New Roman" w:hAnsi="Times New Roman"/>
          <w:sz w:val="20"/>
          <w:szCs w:val="20"/>
          <w:highlight w:val="white"/>
          <w:rtl w:val="0"/>
        </w:rPr>
        <w:t xml:space="preserve">Crime hediondo compreende as práticas de delitos de extrema gravidade, que geram repulsa na sociedade e que são penalizados de forma mais rigorosa pelo Poder Judiciário.</w:t>
      </w:r>
      <w:r w:rsidDel="00000000" w:rsidR="00000000" w:rsidRPr="00000000">
        <w:rPr>
          <w:rtl w:val="0"/>
        </w:rPr>
      </w:r>
    </w:p>
  </w:footnote>
  <w:footnote w:id="15">
    <w:p w:rsidR="00000000" w:rsidDel="00000000" w:rsidP="00000000" w:rsidRDefault="00000000" w:rsidRPr="00000000" w14:paraId="000001F4">
      <w:pPr>
        <w:spacing w:after="0" w:line="240" w:lineRule="auto"/>
        <w:jc w:val="both"/>
        <w:rPr>
          <w:rFonts w:ascii="Times New Roman" w:cs="Times New Roman" w:eastAsia="Times New Roman" w:hAnsi="Times New Roman"/>
          <w:sz w:val="20"/>
          <w:szCs w:val="20"/>
          <w:vertAlign w:val="superscript"/>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highlight w:val="white"/>
          <w:rtl w:val="0"/>
        </w:rPr>
        <w:t xml:space="preserve">Ato libidinoso por ser entendido como qualquer toque - seja nas regiões genitais ou não - infligido a um terceiro com significação sexual, realizada no sentido de satisfação pessoal.</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B">
    <w:pPr>
      <w:rPr>
        <w:vertAlign w:val="superscript"/>
      </w:rPr>
    </w:pPr>
    <w:r w:rsidDel="00000000" w:rsidR="00000000" w:rsidRPr="00000000">
      <w:rPr>
        <w:vertAlign w:val="superscript"/>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C">
    <w:pPr>
      <w:rPr>
        <w:vertAlign w:val="superscript"/>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E">
    <w:pPr>
      <w:rPr>
        <w:color w:val="ffffff"/>
        <w:vertAlign w:val="superscript"/>
      </w:rPr>
    </w:pPr>
    <w:r w:rsidDel="00000000" w:rsidR="00000000" w:rsidRPr="00000000">
      <w:rPr>
        <w:color w:val="ffffff"/>
        <w:vertAlign w:val="superscript"/>
      </w:rPr>
      <w:fldChar w:fldCharType="begin"/>
      <w:instrText xml:space="preserve">PAGE</w:instrText>
      <w:fldChar w:fldCharType="separate"/>
      <w:fldChar w:fldCharType="end"/>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F">
    <w:pPr>
      <w:jc w:val="right"/>
      <w:rPr>
        <w:rFonts w:ascii="Times New Roman" w:cs="Times New Roman" w:eastAsia="Times New Roman" w:hAnsi="Times New Roman"/>
        <w:sz w:val="16"/>
        <w:szCs w:val="16"/>
        <w:vertAlign w:val="superscript"/>
      </w:rPr>
    </w:pPr>
    <w:r w:rsidDel="00000000" w:rsidR="00000000" w:rsidRPr="00000000">
      <w:rPr>
        <w:rFonts w:ascii="Times New Roman" w:cs="Times New Roman" w:eastAsia="Times New Roman" w:hAnsi="Times New Roman"/>
        <w:sz w:val="20"/>
        <w:szCs w:val="20"/>
        <w:vertAlign w:val="superscript"/>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Bdr>
        <w:top w:color="auto" w:space="0" w:sz="0" w:val="none"/>
        <w:left w:color="auto" w:space="0" w:sz="0" w:val="none"/>
        <w:bottom w:color="auto" w:space="0" w:sz="0" w:val="none"/>
        <w:right w:color="auto" w:space="0" w:sz="0" w:val="none"/>
        <w:between w:color="auto" w:space="0" w:sz="0" w:val="none"/>
      </w:pBdr>
      <w:shd w:fill="ffffff" w:val="clear"/>
      <w:spacing w:line="360" w:lineRule="auto"/>
      <w:jc w:val="center"/>
    </w:pPr>
    <w:rPr>
      <w:rFonts w:ascii="Times New Roman" w:cs="Times New Roman" w:eastAsia="Times New Roman" w:hAnsi="Times New Roman"/>
      <w:b w:val="1"/>
      <w:bCs w:val="1"/>
      <w:sz w:val="24"/>
      <w:szCs w:val="24"/>
    </w:rPr>
  </w:style>
  <w:style w:type="paragraph" w:styleId="Heading2">
    <w:name w:val="heading 2"/>
    <w:basedOn w:val="Normal"/>
    <w:next w:val="Normal"/>
    <w:pPr>
      <w:keepNext w:val="1"/>
      <w:keepLines w:val="1"/>
      <w:spacing w:line="360" w:lineRule="auto"/>
      <w:ind w:left="708" w:firstLine="0"/>
      <w:jc w:val="both"/>
    </w:pPr>
    <w:rPr>
      <w:rFonts w:ascii="Times New Roman" w:cs="Times New Roman" w:eastAsia="Times New Roman" w:hAnsi="Times New Roman"/>
      <w:b w:val="1"/>
      <w:bCs w:val="1"/>
      <w:sz w:val="24"/>
      <w:szCs w:val="24"/>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planalto.gov.br/ccivil_03/leis/L8069.htm." TargetMode="External"/><Relationship Id="rId22" Type="http://schemas.openxmlformats.org/officeDocument/2006/relationships/hyperlink" Target="https://www.planalto.gov.br/ccivil_03/_Ato2007-2010/2009/Lei/L12015.htm#art3." TargetMode="External"/><Relationship Id="rId21" Type="http://schemas.openxmlformats.org/officeDocument/2006/relationships/hyperlink" Target="https://www.planalto.gov.br/ccivil_03/_Ato2007-2010/2009/Lei/L12015.htm#art3." TargetMode="External"/><Relationship Id="rId24" Type="http://schemas.openxmlformats.org/officeDocument/2006/relationships/hyperlink" Target="https://www.planalto.gov.br/ccivil_03/_ato2011-2014/2012/lei/l12650.htm." TargetMode="External"/><Relationship Id="rId23" Type="http://schemas.openxmlformats.org/officeDocument/2006/relationships/hyperlink" Target="https://www.planalto.gov.br/ccivil_03/_ato2011-2014/2012/lei/l12650.ht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26" Type="http://schemas.openxmlformats.org/officeDocument/2006/relationships/hyperlink" Target="https://www.planalto.gov.br/ccivil_03/_ato2019-2022/2019/lei/l13935.htm." TargetMode="External"/><Relationship Id="rId25" Type="http://schemas.openxmlformats.org/officeDocument/2006/relationships/hyperlink" Target="https://www.planalto.gov.br/ccivil_03/_Ato2015-2018/2017/Lei/L13431.htm" TargetMode="External"/><Relationship Id="rId28" Type="http://schemas.openxmlformats.org/officeDocument/2006/relationships/hyperlink" Target="https://www.in.gov.br/en/web/dou/-/lei-n-14.432-de-3-de-agosto-de-2022-419970929" TargetMode="External"/><Relationship Id="rId27" Type="http://schemas.openxmlformats.org/officeDocument/2006/relationships/hyperlink" Target="https://www.planalto.gov.br/ccivil_03/_ato2019-2022/2019/lei/l13935.htm."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planalto.gov.br/ccivil_03/_ato2023-2026/2024/lei/l14811.htm" TargetMode="External"/><Relationship Id="rId7" Type="http://schemas.openxmlformats.org/officeDocument/2006/relationships/header" Target="header1.xml"/><Relationship Id="rId8" Type="http://schemas.openxmlformats.org/officeDocument/2006/relationships/header" Target="header2.xml"/><Relationship Id="rId31" Type="http://schemas.openxmlformats.org/officeDocument/2006/relationships/hyperlink" Target="https://publicacoes.forumseguranca.org.br/items/f62c4196-561d-452d-a2a8-9d33d1163af0" TargetMode="External"/><Relationship Id="rId30" Type="http://schemas.openxmlformats.org/officeDocument/2006/relationships/hyperlink" Target="https://publicacoes.forumseguranca.org.br/items/f62c4196-561d-452d-a2a8-9d33d1163af0" TargetMode="External"/><Relationship Id="rId11" Type="http://schemas.openxmlformats.org/officeDocument/2006/relationships/image" Target="media/image3.jpg"/><Relationship Id="rId33" Type="http://schemas.openxmlformats.org/officeDocument/2006/relationships/hyperlink" Target="https://publicacoes.forumseguranca.org.br/handle/123456789/279" TargetMode="External"/><Relationship Id="rId10" Type="http://schemas.openxmlformats.org/officeDocument/2006/relationships/image" Target="media/image1.png"/><Relationship Id="rId32" Type="http://schemas.openxmlformats.org/officeDocument/2006/relationships/hyperlink" Target="https://publicacoes.forumseguranca.org.br/handle/123456789/279" TargetMode="External"/><Relationship Id="rId13" Type="http://schemas.openxmlformats.org/officeDocument/2006/relationships/image" Target="media/image4.jpg"/><Relationship Id="rId35" Type="http://schemas.openxmlformats.org/officeDocument/2006/relationships/hyperlink" Target="https://www.gov.br/mdh/pt-br/assuntos/noticias/2021/julho/trinta-e-um-anos-do-estatuto-da-crianca-e-do-adolescente-confira-as-novas-acoes-para-fortalecer-o-eca/ECA2021_Digital.pdf" TargetMode="External"/><Relationship Id="rId12" Type="http://schemas.openxmlformats.org/officeDocument/2006/relationships/image" Target="media/image2.jpg"/><Relationship Id="rId34" Type="http://schemas.openxmlformats.org/officeDocument/2006/relationships/hyperlink" Target="https://www.gov.br/mdh/pt-br/assuntos/noticias/2021/julho/trinta-e-um-anos-do-estatuto-da-crianca-e-do-adolescente-confira-as-novas-acoes-para-fortalecer-o-eca/ECA2021_Digital.pdf" TargetMode="External"/><Relationship Id="rId15" Type="http://schemas.openxmlformats.org/officeDocument/2006/relationships/hyperlink" Target="https://www.planalto.gov.br/ccivil_03/constituicao/constituicao.htm" TargetMode="External"/><Relationship Id="rId14" Type="http://schemas.openxmlformats.org/officeDocument/2006/relationships/header" Target="header3.xml"/><Relationship Id="rId36" Type="http://schemas.openxmlformats.org/officeDocument/2006/relationships/header" Target="header4.xml"/><Relationship Id="rId17" Type="http://schemas.openxmlformats.org/officeDocument/2006/relationships/hyperlink" Target="https://www.planalto.gov.br/ccivil_03/decreto-lei/del2848compilado.htm" TargetMode="External"/><Relationship Id="rId16" Type="http://schemas.openxmlformats.org/officeDocument/2006/relationships/hyperlink" Target="https://www.planalto.gov.br/ccivil_03/constituicao/constituicao.htm" TargetMode="External"/><Relationship Id="rId19" Type="http://schemas.openxmlformats.org/officeDocument/2006/relationships/hyperlink" Target="https://www.planalto.gov.br/ccivil_03/leis/L8069.htm." TargetMode="External"/><Relationship Id="rId18" Type="http://schemas.openxmlformats.org/officeDocument/2006/relationships/hyperlink" Target="https://www.planalto.gov.br/ccivil_03/decreto-lei/del2848compilado.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hildhood.org.br/glossario-da-causa/" TargetMode="External"/><Relationship Id="rId2" Type="http://schemas.openxmlformats.org/officeDocument/2006/relationships/hyperlink" Target="https://www.gov.br/trabalho-e-emprego/pt-br/noticias-e-conteudo/2025/abril/3o-relatorio-de-transparencia-salarial-mulheres-recebem-20-9-a-menos-do-que-os-homens" TargetMode="External"/><Relationship Id="rId3" Type="http://schemas.openxmlformats.org/officeDocument/2006/relationships/hyperlink" Target="https://g1.globo.com/rj/rio-de-janeiro/noticia/2025/07/24/dados-anuario-da-violencia-e-isp-mostram-rj-com-menos-mortes-mais-roubos.ghtml" TargetMode="External"/><Relationship Id="rId4" Type="http://schemas.openxmlformats.org/officeDocument/2006/relationships/hyperlink" Target="https://leidominutoseguinte.mpf.mp.br/" TargetMode="External"/><Relationship Id="rId5" Type="http://schemas.openxmlformats.org/officeDocument/2006/relationships/hyperlink" Target="https://horadopovo.com.br/deputados-aprovam-pdl-da-pedofilia-para-impedir-aborto-legal-em-criancas-vitimas-de-estupro/" TargetMode="External"/><Relationship Id="rId6" Type="http://schemas.openxmlformats.org/officeDocument/2006/relationships/hyperlink" Target="https://www.cfess.org.br/arquivos/Nota-tecnica-escuta-especial-2019.pdf" TargetMode="External"/><Relationship Id="rId7" Type="http://schemas.openxmlformats.org/officeDocument/2006/relationships/hyperlink" Target="https://www.gov.br/memoriasreveladas/pt-br/assuntos/noticias/caso-araceli-estado-brasileiro-e-denunciado-a-oea" TargetMode="External"/><Relationship Id="rId8" Type="http://schemas.openxmlformats.org/officeDocument/2006/relationships/hyperlink" Target="https://www1.folha.uol.com.br/seminariosfolha/2019/05/vitimas-de-abuso-sexual-estao-cientes-de-que-sao-vitimas-de-fato-diz-joanna-maranhao.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