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  <w:ind w:left="4445"/>
      </w:pPr>
      <w:r>
        <w:pict>
          <v:shape type="#_x0000_t75" style="width:48.7pt;height:46.5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3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UNIVERSIDADE FEDERAL RURAL DO RIO DE JANEIRO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805" w:right="1494" w:firstLine="1"/>
      </w:pPr>
      <w:r>
        <w:pict>
          <v:group style="position:absolute;margin-left:52.39pt;margin-top:-28.0605pt;width:423.32pt;height:94.54pt;mso-position-horizontal-relative:page;mso-position-vertical-relative:paragraph;z-index:-152" coordorigin="1048,-561" coordsize="8466,1891">
            <v:shape style="position:absolute;left:1058;top:-551;width:8445;height:0" coordorigin="1058,-551" coordsize="8445,0" path="m1058,-551l9504,-551e" filled="f" stroked="t" strokeweight="0.58pt" strokecolor="#000000">
              <v:path arrowok="t"/>
            </v:shape>
            <v:shape style="position:absolute;left:1054;top:-555;width:0;height:1879" coordorigin="1054,-555" coordsize="0,1879" path="m1054,-555l1054,1324e" filled="f" stroked="t" strokeweight="0.58pt" strokecolor="#000000">
              <v:path arrowok="t"/>
            </v:shape>
            <v:shape style="position:absolute;left:1058;top:1319;width:8445;height:0" coordorigin="1058,1319" coordsize="8445,0" path="m1058,1319l9504,1319e" filled="f" stroked="t" strokeweight="0.58pt" strokecolor="#000000">
              <v:path arrowok="t"/>
            </v:shape>
            <v:shape style="position:absolute;left:9508;top:-555;width:0;height:1879" coordorigin="9508,-555" coordsize="0,1879" path="m9508,-555l9508,1324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DECANATO DE ENSINO DE GRADUAÇÃO</w:t>
      </w:r>
      <w:r>
        <w:rPr>
          <w:rFonts w:cs="Times New Roman" w:hAnsi="Times New Roman" w:eastAsia="Times New Roman" w:ascii="Times New Roman"/>
          <w:sz w:val="22"/>
          <w:szCs w:val="22"/>
        </w:rPr>
        <w:t> DEPARTAMENTO DE ASSUNTOS ACADÊMICOS E REGISTRO GERAL</w:t>
      </w:r>
      <w:r>
        <w:rPr>
          <w:rFonts w:cs="Times New Roman" w:hAnsi="Times New Roman" w:eastAsia="Times New Roman" w:ascii="Times New Roman"/>
          <w:sz w:val="22"/>
          <w:szCs w:val="22"/>
        </w:rPr>
        <w:t> DIVISÃO DE REGISTROS ACADÊMICOS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i/>
          <w:position w:val="-1"/>
          <w:sz w:val="22"/>
          <w:szCs w:val="22"/>
        </w:rPr>
        <w:t>PROGRAMA ANALÍTICO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pgSz w:w="11920" w:h="16840"/>
          <w:pgMar w:top="1020" w:bottom="280" w:left="1020" w:right="1680"/>
        </w:sectPr>
      </w:pPr>
      <w:r>
        <w:rPr>
          <w:sz w:val="16"/>
          <w:szCs w:val="16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227" w:right="-37"/>
      </w:pPr>
      <w:r>
        <w:rPr>
          <w:rFonts w:cs="Times New Roman" w:hAnsi="Times New Roman" w:eastAsia="Times New Roman" w:ascii="Times New Roman"/>
          <w:sz w:val="22"/>
          <w:szCs w:val="22"/>
        </w:rPr>
        <w:t>CÓDIGO: IH 902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" w:lineRule="exact" w:line="240"/>
        <w:ind w:left="334" w:right="71"/>
      </w:pPr>
      <w:r>
        <w:rPr>
          <w:rFonts w:cs="Times New Roman" w:hAnsi="Times New Roman" w:eastAsia="Times New Roman" w:ascii="Times New Roman"/>
          <w:sz w:val="22"/>
          <w:szCs w:val="22"/>
        </w:rPr>
        <w:t>CRÉDITOS: 02</w:t>
      </w:r>
      <w:r>
        <w:rPr>
          <w:rFonts w:cs="Times New Roman" w:hAnsi="Times New Roman" w:eastAsia="Times New Roman" w:ascii="Times New Roman"/>
          <w:sz w:val="22"/>
          <w:szCs w:val="22"/>
        </w:rPr>
        <w:t> (2T-0P)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660"/>
      </w:pPr>
      <w:r>
        <w:br w:type="column"/>
      </w:r>
      <w:r>
        <w:rPr>
          <w:rFonts w:cs="Times New Roman" w:hAnsi="Times New Roman" w:eastAsia="Times New Roman" w:ascii="Times New Roman"/>
          <w:b/>
          <w:sz w:val="22"/>
          <w:szCs w:val="22"/>
        </w:rPr>
        <w:t>DISCIPLINA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1214" w:right="3474"/>
      </w:pPr>
      <w:r>
        <w:pict>
          <v:group style="position:absolute;margin-left:52.39pt;margin-top:-7.06048pt;width:423.32pt;height:39.46pt;mso-position-horizontal-relative:page;mso-position-vertical-relative:paragraph;z-index:-151" coordorigin="1048,-141" coordsize="8466,789">
            <v:shape style="position:absolute;left:1058;top:-131;width:2040;height:0" coordorigin="1058,-131" coordsize="2040,0" path="m1058,-131l3099,-131e" filled="f" stroked="t" strokeweight="0.58001pt" strokecolor="#000000">
              <v:path arrowok="t"/>
            </v:shape>
            <v:shape style="position:absolute;left:3108;top:-131;width:6395;height:0" coordorigin="3108,-131" coordsize="6395,0" path="m3108,-131l9503,-131e" filled="f" stroked="t" strokeweight="0.58001pt" strokecolor="#000000">
              <v:path arrowok="t"/>
            </v:shape>
            <v:shape style="position:absolute;left:1054;top:-135;width:0;height:778" coordorigin="1054,-135" coordsize="0,778" path="m1054,-135l1054,642e" filled="f" stroked="t" strokeweight="0.58pt" strokecolor="#000000">
              <v:path arrowok="t"/>
            </v:shape>
            <v:shape style="position:absolute;left:1058;top:637;width:2040;height:0" coordorigin="1058,637" coordsize="2040,0" path="m1058,637l3099,637e" filled="f" stroked="t" strokeweight="0.58001pt" strokecolor="#000000">
              <v:path arrowok="t"/>
            </v:shape>
            <v:shape style="position:absolute;left:3104;top:-135;width:0;height:778" coordorigin="3104,-135" coordsize="0,778" path="m3104,-135l3104,642e" filled="f" stroked="t" strokeweight="0.58pt" strokecolor="#000000">
              <v:path arrowok="t"/>
            </v:shape>
            <v:shape style="position:absolute;left:3108;top:637;width:6395;height:0" coordorigin="3108,637" coordsize="6395,0" path="m3108,637l9503,637e" filled="f" stroked="t" strokeweight="0.58001pt" strokecolor="#000000">
              <v:path arrowok="t"/>
            </v:shape>
            <v:shape style="position:absolute;left:9508;top:-135;width:0;height:778" coordorigin="9508,-135" coordsize="0,778" path="m9508,-135l9508,642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z w:val="22"/>
          <w:szCs w:val="22"/>
        </w:rPr>
        <w:t>LIBRAS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-37" w:right="2225"/>
        <w:sectPr>
          <w:type w:val="continuous"/>
          <w:pgSz w:w="11920" w:h="16840"/>
          <w:pgMar w:top="1020" w:bottom="280" w:left="1020" w:right="1680"/>
          <w:cols w:num="2" w:equalWidth="off">
            <w:col w:w="1852" w:space="1773"/>
            <w:col w:w="5595"/>
          </w:cols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Cada Crédito corresponde a 15h/ aula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1807" w:right="2499"/>
      </w:pPr>
      <w:r>
        <w:pict>
          <v:group style="position:absolute;margin-left:52.39pt;margin-top:-2.46047pt;width:423.32pt;height:41.86pt;mso-position-horizontal-relative:page;mso-position-vertical-relative:paragraph;z-index:-150" coordorigin="1048,-49" coordsize="8466,837">
            <v:shape style="position:absolute;left:1058;top:-39;width:8445;height:0" coordorigin="1058,-39" coordsize="8445,0" path="m1058,-39l9504,-39e" filled="f" stroked="t" strokeweight="0.57998pt" strokecolor="#000000">
              <v:path arrowok="t"/>
            </v:shape>
            <v:shape style="position:absolute;left:1058;top:369;width:8445;height:0" coordorigin="1058,369" coordsize="8445,0" path="m1058,369l9504,369e" filled="f" stroked="t" strokeweight="0.58001pt" strokecolor="#000000">
              <v:path arrowok="t"/>
            </v:shape>
            <v:shape style="position:absolute;left:1054;top:-43;width:0;height:826" coordorigin="1054,-43" coordsize="0,826" path="m1054,-43l1054,782e" filled="f" stroked="t" strokeweight="0.58pt" strokecolor="#000000">
              <v:path arrowok="t"/>
            </v:shape>
            <v:shape style="position:absolute;left:1058;top:777;width:8445;height:0" coordorigin="1058,777" coordsize="8445,0" path="m1058,777l9504,777e" filled="f" stroked="t" strokeweight="0.58001pt" strokecolor="#000000">
              <v:path arrowok="t"/>
            </v:shape>
            <v:shape style="position:absolute;left:9508;top:-43;width:0;height:826" coordorigin="9508,-43" coordsize="0,826" path="m9508,-43l9508,782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INSTITUTO DE CIÊNCIAS HUMANAS E SOCIAIS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1649" w:right="2341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DEPARTAMENTO DE LETRAS E CIÊNCIAS SOCIAIS</w:t>
      </w:r>
      <w:r>
        <w:rPr>
          <w:rFonts w:cs="Times New Roman" w:hAnsi="Times New Roman" w:eastAsia="Times New Roman" w:ascii="Times New Roman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3" w:right="752"/>
      </w:pPr>
      <w:r>
        <w:pict>
          <v:group style="position:absolute;margin-left:52.39pt;margin-top:-1.62048pt;width:423.32pt;height:70.42pt;mso-position-horizontal-relative:page;mso-position-vertical-relative:paragraph;z-index:-149" coordorigin="1048,-32" coordsize="8466,1408">
            <v:shape style="position:absolute;left:1058;top:-22;width:8445;height:0" coordorigin="1058,-22" coordsize="8445,0" path="m1058,-22l9504,-22e" filled="f" stroked="t" strokeweight="0.58001pt" strokecolor="#000000">
              <v:path arrowok="t"/>
            </v:shape>
            <v:shape style="position:absolute;left:1054;top:-27;width:0;height:1397" coordorigin="1054,-27" coordsize="0,1397" path="m1054,-27l1054,1370e" filled="f" stroked="t" strokeweight="0.58pt" strokecolor="#000000">
              <v:path arrowok="t"/>
            </v:shape>
            <v:shape style="position:absolute;left:1058;top:1365;width:8445;height:0" coordorigin="1058,1365" coordsize="8445,0" path="m1058,1365l9504,1365e" filled="f" stroked="t" strokeweight="0.57998pt" strokecolor="#000000">
              <v:path arrowok="t"/>
            </v:shape>
            <v:shape style="position:absolute;left:9508;top:-27;width:0;height:1397" coordorigin="9508,-27" coordsize="0,1397" path="m9508,-27l9508,1370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OBJETIVO: Em consonância com as diretrizes educacionais vigentes de educação inclusiva e</w:t>
      </w:r>
      <w:r>
        <w:rPr>
          <w:rFonts w:cs="Times New Roman" w:hAnsi="Times New Roman" w:eastAsia="Times New Roman" w:ascii="Times New Roman"/>
          <w:sz w:val="22"/>
          <w:szCs w:val="22"/>
        </w:rPr>
        <w:t> com o decreto 5.626, de 22 de dezembro de 2005, essa disciplina objetiva promover o contato</w:t>
      </w:r>
      <w:r>
        <w:rPr>
          <w:rFonts w:cs="Times New Roman" w:hAnsi="Times New Roman" w:eastAsia="Times New Roman" w:ascii="Times New Roman"/>
          <w:sz w:val="22"/>
          <w:szCs w:val="22"/>
        </w:rPr>
        <w:t> e  a  familiarização  dos  alunos  dos  cursos  de  licenciatura  com  a  cultura  e  a  educação  dos</w:t>
      </w:r>
      <w:r>
        <w:rPr>
          <w:rFonts w:cs="Times New Roman" w:hAnsi="Times New Roman" w:eastAsia="Times New Roman" w:ascii="Times New Roman"/>
          <w:sz w:val="22"/>
          <w:szCs w:val="22"/>
        </w:rPr>
        <w:t> surdos, bem como promover conhecimentos sobre a aquisição e o desenvolvimento da Língua</w:t>
      </w:r>
      <w:r>
        <w:rPr>
          <w:rFonts w:cs="Times New Roman" w:hAnsi="Times New Roman" w:eastAsia="Times New Roman" w:ascii="Times New Roman"/>
          <w:sz w:val="22"/>
          <w:szCs w:val="22"/>
        </w:rPr>
        <w:t> Brasileira de Sinais (LIBRAS)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3" w:right="751"/>
      </w:pPr>
      <w:r>
        <w:pict>
          <v:group style="position:absolute;margin-left:52.39pt;margin-top:-1.74047pt;width:423.32pt;height:108.6pt;mso-position-horizontal-relative:page;mso-position-vertical-relative:paragraph;z-index:-148" coordorigin="1048,-35" coordsize="8466,2172">
            <v:shape style="position:absolute;left:1058;top:-24;width:8445;height:0" coordorigin="1058,-24" coordsize="8445,0" path="m1058,-24l9504,-24e" filled="f" stroked="t" strokeweight="0.57998pt" strokecolor="#000000">
              <v:path arrowok="t"/>
            </v:shape>
            <v:shape style="position:absolute;left:1054;top:-29;width:0;height:2160" coordorigin="1054,-29" coordsize="0,2160" path="m1054,-29l1054,2131e" filled="f" stroked="t" strokeweight="0.58pt" strokecolor="#000000">
              <v:path arrowok="t"/>
            </v:shape>
            <v:shape style="position:absolute;left:1058;top:2127;width:8445;height:0" coordorigin="1058,2127" coordsize="8445,0" path="m1058,2127l9504,2127e" filled="f" stroked="t" strokeweight="0.58004pt" strokecolor="#000000">
              <v:path arrowok="t"/>
            </v:shape>
            <v:shape style="position:absolute;left:9508;top:-29;width:0;height:2160" coordorigin="9508,-29" coordsize="0,2160" path="m9508,-29l9508,213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EMENTA: Contextualizar as políticas públicas educacionais voltadas para as pessoas surdas e</w:t>
      </w:r>
      <w:r>
        <w:rPr>
          <w:rFonts w:cs="Times New Roman" w:hAnsi="Times New Roman" w:eastAsia="Times New Roman" w:ascii="Times New Roman"/>
          <w:sz w:val="22"/>
          <w:szCs w:val="22"/>
        </w:rPr>
        <w:t> com deficiência auditiva estabelecendo as diferenças entre os conceitos de forma articulada</w:t>
      </w:r>
      <w:r>
        <w:rPr>
          <w:rFonts w:cs="Times New Roman" w:hAnsi="Times New Roman" w:eastAsia="Times New Roman" w:ascii="Times New Roman"/>
          <w:sz w:val="22"/>
          <w:szCs w:val="22"/>
        </w:rPr>
        <w:t> com  os  movimentos  sociais  em  defesa  de  seus  direitos; Apresentar  aspectos  conceituais  e</w:t>
      </w:r>
      <w:r>
        <w:rPr>
          <w:rFonts w:cs="Times New Roman" w:hAnsi="Times New Roman" w:eastAsia="Times New Roman" w:ascii="Times New Roman"/>
          <w:sz w:val="22"/>
          <w:szCs w:val="22"/>
        </w:rPr>
        <w:t> filosóficos  da  cultura  e  identidade  surda  (o  surdo  no  mundo  ouvinte);  Discutir  a  relação</w:t>
      </w:r>
      <w:r>
        <w:rPr>
          <w:rFonts w:cs="Times New Roman" w:hAnsi="Times New Roman" w:eastAsia="Times New Roman" w:ascii="Times New Roman"/>
          <w:sz w:val="22"/>
          <w:szCs w:val="22"/>
        </w:rPr>
        <w:t> linguagem e surdez, bem como as implicações sócio-psico-linguísticas da surdez no processo</w:t>
      </w:r>
      <w:r>
        <w:rPr>
          <w:rFonts w:cs="Times New Roman" w:hAnsi="Times New Roman" w:eastAsia="Times New Roman" w:ascii="Times New Roman"/>
          <w:sz w:val="22"/>
          <w:szCs w:val="22"/>
        </w:rPr>
        <w:t> de  ensino-aprendizagem;  Refletir  sobre  a  atuação  e as  implicações  do  intérprete  da  Língua</w:t>
      </w:r>
      <w:r>
        <w:rPr>
          <w:rFonts w:cs="Times New Roman" w:hAnsi="Times New Roman" w:eastAsia="Times New Roman" w:ascii="Times New Roman"/>
          <w:sz w:val="22"/>
          <w:szCs w:val="22"/>
        </w:rPr>
        <w:t> Brasileira de Sinais no processo de inclusão escolar de alunos surdos; Aprofundar as noções</w:t>
      </w:r>
      <w:r>
        <w:rPr>
          <w:rFonts w:cs="Times New Roman" w:hAnsi="Times New Roman" w:eastAsia="Times New Roman" w:ascii="Times New Roman"/>
          <w:sz w:val="22"/>
          <w:szCs w:val="22"/>
        </w:rPr>
        <w:t> linguísticas básicas da LIBRAS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3" w:right="5988"/>
      </w:pPr>
      <w:r>
        <w:rPr>
          <w:rFonts w:cs="Times New Roman" w:hAnsi="Times New Roman" w:eastAsia="Times New Roman" w:ascii="Times New Roman"/>
          <w:sz w:val="22"/>
          <w:szCs w:val="22"/>
        </w:rPr>
        <w:t>CONTEÚDO PROGRAMÁTICO: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3" w:right="751"/>
      </w:pPr>
      <w:r>
        <w:rPr>
          <w:rFonts w:cs="Times New Roman" w:hAnsi="Times New Roman" w:eastAsia="Times New Roman" w:ascii="Times New Roman"/>
          <w:sz w:val="22"/>
          <w:szCs w:val="22"/>
        </w:rPr>
        <w:t>1. Políticas públicas educacionais voltadas para as pessoas surdas e com deficiência auditiva</w:t>
      </w:r>
      <w:r>
        <w:rPr>
          <w:rFonts w:cs="Times New Roman" w:hAnsi="Times New Roman" w:eastAsia="Times New Roman" w:ascii="Times New Roman"/>
          <w:sz w:val="22"/>
          <w:szCs w:val="22"/>
        </w:rPr>
        <w:t> estabelecendo as diferenças entre os conceitos de forma articulada com os movimentos sociais</w:t>
      </w:r>
      <w:r>
        <w:rPr>
          <w:rFonts w:cs="Times New Roman" w:hAnsi="Times New Roman" w:eastAsia="Times New Roman" w:ascii="Times New Roman"/>
          <w:sz w:val="22"/>
          <w:szCs w:val="22"/>
        </w:rPr>
        <w:t> em  defesa  de  seus  direitos.  Lei  10.436,  de  24  de  abril  de  2002.  Decreto  5.626,  de  22  de</w:t>
      </w:r>
      <w:r>
        <w:rPr>
          <w:rFonts w:cs="Times New Roman" w:hAnsi="Times New Roman" w:eastAsia="Times New Roman" w:ascii="Times New Roman"/>
          <w:sz w:val="22"/>
          <w:szCs w:val="22"/>
        </w:rPr>
        <w:t> dezembro de 2005.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3" w:right="752"/>
      </w:pPr>
      <w:r>
        <w:pict>
          <v:group style="position:absolute;margin-left:52.39pt;margin-top:550.34pt;width:423.32pt;height:235.086pt;mso-position-horizontal-relative:page;mso-position-vertical-relative:page;z-index:-147" coordorigin="1048,11007" coordsize="8466,4702">
            <v:shape style="position:absolute;left:1058;top:11017;width:8445;height:0" coordorigin="1058,11017" coordsize="8445,0" path="m1058,11017l9504,11017e" filled="f" stroked="t" strokeweight="0.57998pt" strokecolor="#000000">
              <v:path arrowok="t"/>
            </v:shape>
            <v:shape style="position:absolute;left:1054;top:11013;width:0;height:4690" coordorigin="1054,11013" coordsize="0,4690" path="m1054,11013l1054,15703e" filled="f" stroked="t" strokeweight="0.58pt" strokecolor="#000000">
              <v:path arrowok="t"/>
            </v:shape>
            <v:shape style="position:absolute;left:1058;top:15698;width:8445;height:0" coordorigin="1058,15698" coordsize="8445,0" path="m1058,15698l9504,15698e" filled="f" stroked="t" strokeweight="0.57998pt" strokecolor="#000000">
              <v:path arrowok="t"/>
            </v:shape>
            <v:shape style="position:absolute;left:9508;top:11013;width:0;height:4690" coordorigin="9508,11013" coordsize="0,4690" path="m9508,11013l9508,1570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2.  Aspectos  conceituais  e  filosóficos  da  cultura  e  identidade  surda  (o  surdo  no  mundo</w:t>
      </w:r>
      <w:r>
        <w:rPr>
          <w:rFonts w:cs="Times New Roman" w:hAnsi="Times New Roman" w:eastAsia="Times New Roman" w:ascii="Times New Roman"/>
          <w:sz w:val="22"/>
          <w:szCs w:val="22"/>
        </w:rPr>
        <w:t> ouvinte). Visões sobre a surdez. História sobre a Comunidade Surda e sobre a Educação de</w:t>
      </w:r>
      <w:r>
        <w:rPr>
          <w:rFonts w:cs="Times New Roman" w:hAnsi="Times New Roman" w:eastAsia="Times New Roman" w:ascii="Times New Roman"/>
          <w:sz w:val="22"/>
          <w:szCs w:val="22"/>
        </w:rPr>
        <w:t> Surdos. As diferentes identidades surdas: Línguas de Sinais, Cultura Surda e sua comunidade,</w:t>
      </w:r>
      <w:r>
        <w:rPr>
          <w:rFonts w:cs="Times New Roman" w:hAnsi="Times New Roman" w:eastAsia="Times New Roman" w:ascii="Times New Roman"/>
          <w:sz w:val="22"/>
          <w:szCs w:val="22"/>
        </w:rPr>
        <w:t> numa    proposta    socioantropológica.    Bilinguismo:    aspectos    históricos,    filosóficos    e</w:t>
      </w:r>
      <w:r>
        <w:rPr>
          <w:rFonts w:cs="Times New Roman" w:hAnsi="Times New Roman" w:eastAsia="Times New Roman" w:ascii="Times New Roman"/>
          <w:sz w:val="22"/>
          <w:szCs w:val="22"/>
        </w:rPr>
        <w:t> epistemológicos.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3" w:right="746"/>
        <w:sectPr>
          <w:type w:val="continuous"/>
          <w:pgSz w:w="11920" w:h="16840"/>
          <w:pgMar w:top="1020" w:bottom="280" w:left="1020" w:right="1680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3. A  relação linguagem e surdez, bem como as implicações sócio-psico-linguísticas da surdez</w:t>
      </w:r>
      <w:r>
        <w:rPr>
          <w:rFonts w:cs="Times New Roman" w:hAnsi="Times New Roman" w:eastAsia="Times New Roman" w:ascii="Times New Roman"/>
          <w:sz w:val="22"/>
          <w:szCs w:val="22"/>
        </w:rPr>
        <w:t> no processo de ensino-aprendizagem. A importância da Libras para o desenvolvimento sócio-</w:t>
      </w:r>
      <w:r>
        <w:rPr>
          <w:rFonts w:cs="Times New Roman" w:hAnsi="Times New Roman" w:eastAsia="Times New Roman" w:ascii="Times New Roman"/>
          <w:sz w:val="22"/>
          <w:szCs w:val="22"/>
        </w:rPr>
        <w:t> psico-linguístico do sujeito surdo. Diferenciação nos conceitos de aquisição e aprendizagem</w:t>
      </w:r>
      <w:r>
        <w:rPr>
          <w:rFonts w:cs="Times New Roman" w:hAnsi="Times New Roman" w:eastAsia="Times New Roman" w:ascii="Times New Roman"/>
          <w:sz w:val="22"/>
          <w:szCs w:val="22"/>
        </w:rPr>
        <w:t> de  LIBRAS  (L1)  e  Língua  Portuguesa  (L2).  A  Língua  Portuguesa  como  segunda  língua</w:t>
      </w:r>
      <w:r>
        <w:rPr>
          <w:rFonts w:cs="Times New Roman" w:hAnsi="Times New Roman" w:eastAsia="Times New Roman" w:ascii="Times New Roman"/>
          <w:sz w:val="22"/>
          <w:szCs w:val="22"/>
        </w:rPr>
        <w:t> instrumental  para  o  desenvolvimento  da  leitura  e  escrita  do  aluno  surdo.  Recursos  básicos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5"/>
        <w:ind w:left="103" w:right="5818"/>
      </w:pPr>
      <w:r>
        <w:rPr>
          <w:rFonts w:cs="Times New Roman" w:hAnsi="Times New Roman" w:eastAsia="Times New Roman" w:ascii="Times New Roman"/>
          <w:sz w:val="22"/>
          <w:szCs w:val="22"/>
        </w:rPr>
        <w:t>para um letramento junto aos surdos.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3" w:right="756"/>
      </w:pPr>
      <w:r>
        <w:pict>
          <v:group style="position:absolute;margin-left:52.39pt;margin-top:56.35pt;width:423.32pt;height:108.6pt;mso-position-horizontal-relative:page;mso-position-vertical-relative:page;z-index:-146" coordorigin="1048,1127" coordsize="8466,2172">
            <v:shape style="position:absolute;left:1058;top:1138;width:8445;height:0" coordorigin="1058,1138" coordsize="8445,0" path="m1058,1138l9504,1138e" filled="f" stroked="t" strokeweight="0.58pt" strokecolor="#000000">
              <v:path arrowok="t"/>
            </v:shape>
            <v:shape style="position:absolute;left:1054;top:1133;width:0;height:2160" coordorigin="1054,1133" coordsize="0,2160" path="m1054,1133l1054,3293e" filled="f" stroked="t" strokeweight="0.58pt" strokecolor="#000000">
              <v:path arrowok="t"/>
            </v:shape>
            <v:shape style="position:absolute;left:1058;top:3288;width:8445;height:0" coordorigin="1058,3288" coordsize="8445,0" path="m1058,3288l9504,3288e" filled="f" stroked="t" strokeweight="0.58pt" strokecolor="#000000">
              <v:path arrowok="t"/>
            </v:shape>
            <v:shape style="position:absolute;left:9508;top:1133;width:0;height:2160" coordorigin="9508,1133" coordsize="0,2160" path="m9508,1133l9508,3293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  <w:t>4. A atuação  e  as  implicações  do  intérprete  da  Língua  Brasileira  de  Sinais  no  processo  de</w:t>
      </w:r>
      <w:r>
        <w:rPr>
          <w:rFonts w:cs="Times New Roman" w:hAnsi="Times New Roman" w:eastAsia="Times New Roman" w:ascii="Times New Roman"/>
          <w:sz w:val="22"/>
          <w:szCs w:val="22"/>
        </w:rPr>
        <w:t> inclusão escolar de alunos surdos.   O intérprete da Língua Brasileira de Sinais e sua atuação</w:t>
      </w:r>
      <w:r>
        <w:rPr>
          <w:rFonts w:cs="Times New Roman" w:hAnsi="Times New Roman" w:eastAsia="Times New Roman" w:ascii="Times New Roman"/>
          <w:sz w:val="22"/>
          <w:szCs w:val="22"/>
        </w:rPr>
        <w:t> na escola na interação das duas línguas.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3" w:right="754"/>
      </w:pPr>
      <w:r>
        <w:rPr>
          <w:rFonts w:cs="Times New Roman" w:hAnsi="Times New Roman" w:eastAsia="Times New Roman" w:ascii="Times New Roman"/>
          <w:sz w:val="22"/>
          <w:szCs w:val="22"/>
        </w:rPr>
        <w:t>5.   Noções   básicas   da   Língua   Brasileira   de   Sinais,   aspectos   teóricos   e   práticos,   no</w:t>
      </w:r>
      <w:r>
        <w:rPr>
          <w:rFonts w:cs="Times New Roman" w:hAnsi="Times New Roman" w:eastAsia="Times New Roman" w:ascii="Times New Roman"/>
          <w:sz w:val="22"/>
          <w:szCs w:val="22"/>
        </w:rPr>
        <w:t> desenvolvimento de habilidades expressivas e receptivas da língua bilíngue.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BIBLIOGRAFIA BÁSICA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FERNANDES, Eulália (org.).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Surdez e bilinguismo</w:t>
      </w:r>
      <w:r>
        <w:rPr>
          <w:rFonts w:cs="Times New Roman" w:hAnsi="Times New Roman" w:eastAsia="Times New Roman" w:ascii="Times New Roman"/>
          <w:sz w:val="22"/>
          <w:szCs w:val="22"/>
        </w:rPr>
        <w:t>. Porto Alegre: Editora Medição, 2010 (3ª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edição).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03" w:right="753"/>
      </w:pPr>
      <w:r>
        <w:rPr>
          <w:rFonts w:cs="Times New Roman" w:hAnsi="Times New Roman" w:eastAsia="Times New Roman" w:ascii="Times New Roman"/>
          <w:sz w:val="22"/>
          <w:szCs w:val="22"/>
        </w:rPr>
        <w:t>GESSER, Audrei.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LIBRAS? Que língua é essa? Crenças e preconceitos em torno da língua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 brasileira de sinais e da realidade surda</w:t>
      </w:r>
      <w:r>
        <w:rPr>
          <w:rFonts w:cs="Times New Roman" w:hAnsi="Times New Roman" w:eastAsia="Times New Roman" w:ascii="Times New Roman"/>
          <w:sz w:val="22"/>
          <w:szCs w:val="22"/>
        </w:rPr>
        <w:t>. São Paulo: Parábola Editorial, 2009.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LODI, Ana  Claudia  B.;  LACERDA,  Cristiana  B.  F.de.  (Orgs.). 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Uma  escola  duas  línguas.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Letramento  em  língua  portuguesa  e  língua  de  sinais  nas  etapas  iniciais  de  escolarização.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Editora Mediação, Porto Alegre, 2009.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SKLIAR,  C.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A  surdez:  um  olhar  sobre  as  diferenças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.  </w:t>
      </w:r>
      <w:r>
        <w:rPr>
          <w:rFonts w:cs="Times New Roman" w:hAnsi="Times New Roman" w:eastAsia="Times New Roman" w:ascii="Times New Roman"/>
          <w:sz w:val="22"/>
          <w:szCs w:val="22"/>
        </w:rPr>
        <w:t>Porto  Alegre:  Mediação,  2005  (3ª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edição).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SACKS, O.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Vendo vozes: uma jornada pelo mundo dos surdos</w:t>
      </w:r>
      <w:r>
        <w:rPr>
          <w:rFonts w:cs="Times New Roman" w:hAnsi="Times New Roman" w:eastAsia="Times New Roman" w:ascii="Times New Roman"/>
          <w:sz w:val="22"/>
          <w:szCs w:val="22"/>
        </w:rPr>
        <w:t>. Imago, Rio de Janeiro, 1990.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BIBLIOGRAFIA COMPLEMENTAR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 w:right="753"/>
      </w:pPr>
      <w:r>
        <w:rPr>
          <w:rFonts w:cs="Times New Roman" w:hAnsi="Times New Roman" w:eastAsia="Times New Roman" w:ascii="Times New Roman"/>
          <w:sz w:val="22"/>
          <w:szCs w:val="22"/>
        </w:rPr>
        <w:t>FERREIRA-BRITO, Lucinda. Integração Social &amp; Educação de Surdos. Babel Editora. Rio</w:t>
      </w:r>
      <w:r>
        <w:rPr>
          <w:rFonts w:cs="Times New Roman" w:hAnsi="Times New Roman" w:eastAsia="Times New Roman" w:ascii="Times New Roman"/>
          <w:sz w:val="22"/>
          <w:szCs w:val="22"/>
        </w:rPr>
        <w:t> de Janeiro, 1993.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58"/>
      </w:pPr>
      <w:r>
        <w:pict>
          <v:group style="position:absolute;margin-left:52.39pt;margin-top:178.17pt;width:423.32pt;height:464.55pt;mso-position-horizontal-relative:page;mso-position-vertical-relative:page;z-index:-145" coordorigin="1048,3563" coordsize="8466,9291">
            <v:shape style="position:absolute;left:1058;top:3574;width:8445;height:0" coordorigin="1058,3574" coordsize="8445,0" path="m1058,3574l9504,3574e" filled="f" stroked="t" strokeweight="0.58pt" strokecolor="#000000">
              <v:path arrowok="t"/>
            </v:shape>
            <v:shape style="position:absolute;left:1054;top:3569;width:0;height:9279" coordorigin="1054,3569" coordsize="0,9279" path="m1054,3569l1054,12849e" filled="f" stroked="t" strokeweight="0.58pt" strokecolor="#000000">
              <v:path arrowok="t"/>
            </v:shape>
            <v:shape style="position:absolute;left:1058;top:12844;width:8445;height:0" coordorigin="1058,12844" coordsize="8445,0" path="m1058,12844l9504,12844e" filled="f" stroked="t" strokeweight="0.57998pt" strokecolor="#000000">
              <v:path arrowok="t"/>
            </v:shape>
            <v:shape style="position:absolute;left:9508;top:3569;width:0;height:9279" coordorigin="9508,3569" coordsize="0,9279" path="m9508,3569l9508,1284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           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.  Por  uma  Gramática  de  Línguas  de  Sinais.  Editora  Tempo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Brasileiro. Rio de Janeiro, 1995.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LACERDA, C. B. F. de.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Surdez, processos educativos e subjetivos</w:t>
      </w:r>
      <w:r>
        <w:rPr>
          <w:rFonts w:cs="Times New Roman" w:hAnsi="Times New Roman" w:eastAsia="Times New Roman" w:ascii="Times New Roman"/>
          <w:sz w:val="22"/>
          <w:szCs w:val="22"/>
        </w:rPr>
        <w:t>. Editora Lovise, São Paulo,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2000.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0" w:lineRule="exact" w:line="240"/>
        <w:ind w:left="103" w:right="750"/>
      </w:pPr>
      <w:r>
        <w:rPr>
          <w:rFonts w:cs="Times New Roman" w:hAnsi="Times New Roman" w:eastAsia="Times New Roman" w:ascii="Times New Roman"/>
          <w:sz w:val="22"/>
          <w:szCs w:val="22"/>
        </w:rPr>
        <w:t>LIBRAS.  Dicionário.  Disponível  em:  </w:t>
      </w:r>
      <w:r>
        <w:rPr>
          <w:rFonts w:cs="Verdana" w:hAnsi="Verdana" w:eastAsia="Verdana" w:ascii="Verdana"/>
          <w:color w:val="003399"/>
          <w:sz w:val="24"/>
          <w:szCs w:val="24"/>
        </w:rPr>
      </w:r>
      <w:hyperlink r:id="rId5"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h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t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t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p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: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/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/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ww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w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.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acesso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b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r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asi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l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.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o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rg.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b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r/l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i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b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r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as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  <w:t>/</w:t>
        </w:r>
        <w:r>
          <w:rPr>
            <w:rFonts w:cs="Verdana" w:hAnsi="Verdana" w:eastAsia="Verdana" w:ascii="Verdana"/>
            <w:color w:val="003399"/>
            <w:sz w:val="24"/>
            <w:szCs w:val="24"/>
            <w:u w:val="single" w:color="003399"/>
          </w:rPr>
        </w:r>
        <w:r>
          <w:rPr>
            <w:rFonts w:cs="Verdana" w:hAnsi="Verdana" w:eastAsia="Verdana" w:ascii="Verdana"/>
            <w:color w:val="003399"/>
            <w:sz w:val="24"/>
            <w:szCs w:val="24"/>
          </w:rPr>
        </w:r>
        <w:r>
          <w:rPr>
            <w:rFonts w:cs="Verdana" w:hAnsi="Verdana" w:eastAsia="Verdana" w:ascii="Verdana"/>
            <w:color w:val="003399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color w:val="000000"/>
            <w:sz w:val="22"/>
            <w:szCs w:val="22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z w:val="22"/>
          <w:szCs w:val="22"/>
        </w:rPr>
        <w:t> Acesso em: janeiro de 2009.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LODI, A. C.; HARRISON, K. M. P. CAMPOS, S. R. L.; TESKE, O. (orgs.). 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Letramento e</w:t>
      </w:r>
      <w:r>
        <w:rPr>
          <w:rFonts w:cs="Times New Roman" w:hAnsi="Times New Roman" w:eastAsia="Times New Roman" w:ascii="Times New Roman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3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minorias</w:t>
      </w:r>
      <w:r>
        <w:rPr>
          <w:rFonts w:cs="Times New Roman" w:hAnsi="Times New Roman" w:eastAsia="Times New Roman" w:ascii="Times New Roman"/>
          <w:b/>
          <w:sz w:val="22"/>
          <w:szCs w:val="22"/>
        </w:rPr>
        <w:t>. </w:t>
      </w:r>
      <w:r>
        <w:rPr>
          <w:rFonts w:cs="Times New Roman" w:hAnsi="Times New Roman" w:eastAsia="Times New Roman" w:ascii="Times New Roman"/>
          <w:sz w:val="22"/>
          <w:szCs w:val="22"/>
        </w:rPr>
        <w:t>Editora Mediação, Porto Alegre, 2002.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MOREIRA, M. C. de.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O surdo: caminhos para uma nova identidade</w:t>
      </w:r>
      <w:r>
        <w:rPr>
          <w:rFonts w:cs="Times New Roman" w:hAnsi="Times New Roman" w:eastAsia="Times New Roman" w:ascii="Times New Roman"/>
          <w:sz w:val="22"/>
          <w:szCs w:val="22"/>
        </w:rPr>
        <w:t>. Editora Revinter, Rio 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Janeiro, 2000.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3" w:right="751"/>
      </w:pPr>
      <w:r>
        <w:rPr>
          <w:rFonts w:cs="Times New Roman" w:hAnsi="Times New Roman" w:eastAsia="Times New Roman" w:ascii="Times New Roman"/>
          <w:sz w:val="22"/>
          <w:szCs w:val="22"/>
        </w:rPr>
        <w:t>QUADROS,  R.  M.  de;  SCHMIEDT,  M.  L.  P.. 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Idéias  para  ensinar  português  para  alunos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 surdos</w:t>
      </w:r>
      <w:r>
        <w:rPr>
          <w:rFonts w:cs="Times New Roman" w:hAnsi="Times New Roman" w:eastAsia="Times New Roman" w:ascii="Times New Roman"/>
          <w:sz w:val="22"/>
          <w:szCs w:val="22"/>
        </w:rPr>
        <w:t>. SEESP, Brasília, 2006.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" w:lineRule="exact" w:line="240"/>
        <w:ind w:left="103" w:right="749"/>
      </w:pP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  <w:t>                            </w:t>
      </w:r>
      <w:r>
        <w:rPr>
          <w:rFonts w:cs="Times New Roman" w:hAnsi="Times New Roman" w:eastAsia="Times New Roman" w:ascii="Times New Roman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z w:val="22"/>
          <w:szCs w:val="22"/>
        </w:rPr>
      </w:r>
      <w:r>
        <w:rPr>
          <w:rFonts w:cs="Times New Roman" w:hAnsi="Times New Roman" w:eastAsia="Times New Roman" w:ascii="Times New Roman"/>
          <w:sz w:val="22"/>
          <w:szCs w:val="22"/>
        </w:rPr>
        <w:t>;   KARNOPP,   Lodenir   Becker.  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Língua   de   Sinais   Brasileira.   Estudos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 linguísticos</w:t>
      </w:r>
      <w:r>
        <w:rPr>
          <w:rFonts w:cs="Times New Roman" w:hAnsi="Times New Roman" w:eastAsia="Times New Roman" w:ascii="Times New Roman"/>
          <w:sz w:val="22"/>
          <w:szCs w:val="22"/>
        </w:rPr>
        <w:t>. Porto Alegre: Artmed editora, 2004.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FELIPE,  Tanya  A.  e  MONTEIRO,  Myrna  S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..  Libras  em  Contexto,  curso  básico</w:t>
      </w:r>
      <w:r>
        <w:rPr>
          <w:rFonts w:cs="Times New Roman" w:hAnsi="Times New Roman" w:eastAsia="Times New Roman" w:ascii="Times New Roman"/>
          <w:sz w:val="22"/>
          <w:szCs w:val="22"/>
        </w:rPr>
        <w:t>.  Rio  de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Janeiro: Editora WallPrint, 2008, 7ª edição.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3"/>
      </w:pPr>
      <w:r>
        <w:rPr>
          <w:rFonts w:cs="Times New Roman" w:hAnsi="Times New Roman" w:eastAsia="Times New Roman" w:ascii="Times New Roman"/>
          <w:sz w:val="22"/>
          <w:szCs w:val="22"/>
        </w:rPr>
        <w:t>SOUZA,  Regina  Maria  de.  </w:t>
      </w:r>
      <w:r>
        <w:rPr>
          <w:rFonts w:cs="Times New Roman" w:hAnsi="Times New Roman" w:eastAsia="Times New Roman" w:ascii="Times New Roman"/>
          <w:i/>
          <w:sz w:val="22"/>
          <w:szCs w:val="22"/>
        </w:rPr>
        <w:t>Que  Palavra  que  te  falta?  Linguística,  educação  e  surdez</w:t>
      </w:r>
      <w:r>
        <w:rPr>
          <w:rFonts w:cs="Times New Roman" w:hAnsi="Times New Roman" w:eastAsia="Times New Roman" w:ascii="Times New Roman"/>
          <w:sz w:val="22"/>
          <w:szCs w:val="22"/>
        </w:rPr>
        <w:t>.  São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103"/>
        <w:sectPr>
          <w:pgSz w:w="11920" w:h="16840"/>
          <w:pgMar w:top="1100" w:bottom="280" w:left="1020" w:right="1680"/>
        </w:sectPr>
      </w:pPr>
      <w:r>
        <w:rPr>
          <w:rFonts w:cs="Times New Roman" w:hAnsi="Times New Roman" w:eastAsia="Times New Roman" w:ascii="Times New Roman"/>
          <w:sz w:val="22"/>
          <w:szCs w:val="22"/>
        </w:rPr>
        <w:t>Paulo: Martins Fontes, 1998.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acessobrasil.org.br/libras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