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74" w:rsidRPr="007F4674" w:rsidRDefault="007F4674" w:rsidP="007F4674">
      <w:pPr>
        <w:rPr>
          <w:b/>
          <w:color w:val="4F81BD" w:themeColor="accent1"/>
          <w:sz w:val="18"/>
          <w:szCs w:val="18"/>
          <w:lang w:val="en-US"/>
        </w:rPr>
      </w:pPr>
      <w:r w:rsidRPr="007F4674">
        <w:rPr>
          <w:b/>
          <w:color w:val="4F81BD" w:themeColor="accent1"/>
          <w:sz w:val="18"/>
          <w:szCs w:val="18"/>
          <w:lang w:val="en-US"/>
        </w:rPr>
        <w:t>Compulsory licensing of antiretrovirals</w:t>
      </w:r>
      <w:bookmarkStart w:id="0" w:name="_GoBack"/>
      <w:bookmarkEnd w:id="0"/>
      <w:r w:rsidRPr="007F4674">
        <w:rPr>
          <w:b/>
          <w:color w:val="4F81BD" w:themeColor="accent1"/>
          <w:sz w:val="18"/>
          <w:szCs w:val="18"/>
          <w:lang w:val="en-US"/>
        </w:rPr>
        <w:t xml:space="preserve"> in Brazil: Lessons for global health governance</w:t>
      </w:r>
      <w:r>
        <w:rPr>
          <w:b/>
          <w:color w:val="4F81BD" w:themeColor="accent1"/>
          <w:sz w:val="18"/>
          <w:szCs w:val="18"/>
          <w:lang w:val="en-US"/>
        </w:rPr>
        <w:t>.</w:t>
      </w:r>
    </w:p>
    <w:p w:rsidR="007F4674" w:rsidRPr="00F44415" w:rsidRDefault="007F4674" w:rsidP="007F4674">
      <w:pPr>
        <w:rPr>
          <w:sz w:val="18"/>
          <w:szCs w:val="18"/>
        </w:rPr>
      </w:pPr>
      <w:r w:rsidRPr="00F44415">
        <w:rPr>
          <w:b/>
          <w:sz w:val="18"/>
          <w:szCs w:val="18"/>
        </w:rPr>
        <w:t>Natureza:</w:t>
      </w:r>
      <w:r>
        <w:rPr>
          <w:sz w:val="18"/>
          <w:szCs w:val="18"/>
        </w:rPr>
        <w:t xml:space="preserve"> Pesquisa</w:t>
      </w:r>
    </w:p>
    <w:p w:rsidR="007F4674" w:rsidRPr="00F44415" w:rsidRDefault="007F4674" w:rsidP="007F4674">
      <w:pPr>
        <w:rPr>
          <w:sz w:val="18"/>
          <w:szCs w:val="18"/>
        </w:rPr>
      </w:pPr>
      <w:r w:rsidRPr="00F44415">
        <w:rPr>
          <w:b/>
          <w:sz w:val="18"/>
          <w:szCs w:val="18"/>
        </w:rPr>
        <w:t>Início</w:t>
      </w:r>
      <w:r>
        <w:rPr>
          <w:sz w:val="18"/>
          <w:szCs w:val="18"/>
        </w:rPr>
        <w:t>: 2015</w:t>
      </w:r>
    </w:p>
    <w:p w:rsidR="007F4674" w:rsidRPr="00F44415" w:rsidRDefault="007F4674" w:rsidP="007F4674">
      <w:pPr>
        <w:rPr>
          <w:sz w:val="18"/>
          <w:szCs w:val="18"/>
        </w:rPr>
      </w:pPr>
      <w:r w:rsidRPr="00F44415">
        <w:rPr>
          <w:b/>
          <w:sz w:val="18"/>
          <w:szCs w:val="18"/>
        </w:rPr>
        <w:t>Responsável:</w:t>
      </w:r>
      <w:r w:rsidRPr="00F44415">
        <w:rPr>
          <w:sz w:val="18"/>
          <w:szCs w:val="18"/>
        </w:rPr>
        <w:t xml:space="preserve"> D</w:t>
      </w:r>
      <w:r>
        <w:rPr>
          <w:sz w:val="18"/>
          <w:szCs w:val="18"/>
        </w:rPr>
        <w:t>rª</w:t>
      </w:r>
      <w:r>
        <w:t xml:space="preserve">. </w:t>
      </w:r>
      <w:r w:rsidRPr="007F4674">
        <w:rPr>
          <w:sz w:val="18"/>
          <w:szCs w:val="18"/>
        </w:rPr>
        <w:t>Rosana Curzel</w:t>
      </w:r>
      <w:r w:rsidRPr="007F4674">
        <w:t> </w:t>
      </w:r>
    </w:p>
    <w:p w:rsidR="007F4674" w:rsidRPr="00F44415" w:rsidRDefault="007F4674" w:rsidP="007F4674">
      <w:pPr>
        <w:rPr>
          <w:sz w:val="18"/>
          <w:szCs w:val="18"/>
        </w:rPr>
      </w:pPr>
      <w:r w:rsidRPr="00F44415">
        <w:rPr>
          <w:b/>
          <w:sz w:val="18"/>
          <w:szCs w:val="18"/>
        </w:rPr>
        <w:t>Linha de Pesquisa</w:t>
      </w:r>
      <w:r w:rsidRPr="00F44415">
        <w:rPr>
          <w:sz w:val="18"/>
          <w:szCs w:val="18"/>
        </w:rPr>
        <w:t>: Organizações, Estado e Sociedade.</w:t>
      </w:r>
    </w:p>
    <w:p w:rsidR="007F4674" w:rsidRPr="007F4674" w:rsidRDefault="007F4674" w:rsidP="007F4674">
      <w:pPr>
        <w:spacing w:after="0" w:line="240" w:lineRule="auto"/>
        <w:jc w:val="both"/>
        <w:rPr>
          <w:b/>
          <w:sz w:val="18"/>
          <w:szCs w:val="18"/>
          <w:lang w:val="en-US"/>
        </w:rPr>
      </w:pPr>
      <w:proofErr w:type="spellStart"/>
      <w:r w:rsidRPr="007F4674">
        <w:rPr>
          <w:b/>
          <w:sz w:val="18"/>
          <w:szCs w:val="18"/>
          <w:lang w:val="en-US"/>
        </w:rPr>
        <w:t>Descrição</w:t>
      </w:r>
      <w:proofErr w:type="spellEnd"/>
      <w:r w:rsidRPr="007F4674">
        <w:rPr>
          <w:sz w:val="18"/>
          <w:szCs w:val="18"/>
          <w:lang w:val="en-US"/>
        </w:rPr>
        <w:t xml:space="preserve">: </w:t>
      </w:r>
      <w:r w:rsidRPr="007F4674">
        <w:rPr>
          <w:sz w:val="18"/>
          <w:szCs w:val="18"/>
          <w:lang w:val="en-US"/>
        </w:rPr>
        <w:t xml:space="preserve">The provision of antiretroviral therapy (ARVT) is one of the most pressing challenges in global health. In 2013 there were 35 million people living with HIV; only 37% were receiving ARVT. In this context, the Brazilian strategy for AIDS treatment emerges in </w:t>
      </w:r>
      <w:r>
        <w:rPr>
          <w:sz w:val="18"/>
          <w:szCs w:val="18"/>
          <w:lang w:val="en-US"/>
        </w:rPr>
        <w:t>stark contrast with the business as usual</w:t>
      </w:r>
      <w:r w:rsidRPr="007F4674">
        <w:rPr>
          <w:sz w:val="18"/>
          <w:szCs w:val="18"/>
          <w:lang w:val="en-US"/>
        </w:rPr>
        <w:t>. It relies on a legal guarantee for universal and free access to ARVT; and, in a highly controversial move, on the compulsory licensing (that is, the breaking of patents) of antiretrovirals. This project seeks to draw lessons from the Brazilian experience. It explores the impact of compulsory licensing on the political economy of HIV/AIDS treatment in Brazil, asking whether it has resulted in better health outcomes and more efficient spending. It then studies the impacts of thi</w:t>
      </w:r>
      <w:r>
        <w:rPr>
          <w:sz w:val="18"/>
          <w:szCs w:val="18"/>
          <w:lang w:val="en-US"/>
        </w:rPr>
        <w:t>s measure in relation to Brazil`</w:t>
      </w:r>
      <w:r w:rsidRPr="007F4674">
        <w:rPr>
          <w:sz w:val="18"/>
          <w:szCs w:val="18"/>
          <w:lang w:val="en-US"/>
        </w:rPr>
        <w:t>s position in the governance of HIV/AIDS. Finally, the project asks whether compulsory licensing signals a shift in the relation between states and market</w:t>
      </w:r>
      <w:r>
        <w:rPr>
          <w:sz w:val="18"/>
          <w:szCs w:val="18"/>
          <w:lang w:val="en-US"/>
        </w:rPr>
        <w:t>s in global health governance.</w:t>
      </w:r>
    </w:p>
    <w:p w:rsidR="007F4674" w:rsidRPr="007F4674" w:rsidRDefault="007F4674" w:rsidP="007F4674">
      <w:pPr>
        <w:rPr>
          <w:b/>
          <w:sz w:val="18"/>
          <w:szCs w:val="18"/>
          <w:lang w:val="en-US"/>
        </w:rPr>
      </w:pPr>
    </w:p>
    <w:p w:rsidR="007F4674" w:rsidRDefault="007F4674" w:rsidP="007F4674">
      <w:pPr>
        <w:rPr>
          <w:b/>
          <w:sz w:val="18"/>
          <w:szCs w:val="18"/>
        </w:rPr>
      </w:pPr>
      <w:r w:rsidRPr="00F44415">
        <w:rPr>
          <w:b/>
          <w:sz w:val="18"/>
          <w:szCs w:val="18"/>
        </w:rPr>
        <w:t>E</w:t>
      </w:r>
      <w:r>
        <w:rPr>
          <w:b/>
          <w:sz w:val="18"/>
          <w:szCs w:val="18"/>
        </w:rPr>
        <w:t>quipe</w:t>
      </w:r>
    </w:p>
    <w:tbl>
      <w:tblPr>
        <w:tblStyle w:val="Tabelacomgrade"/>
        <w:tblW w:w="0" w:type="auto"/>
        <w:tblLook w:val="04A0" w:firstRow="1" w:lastRow="0" w:firstColumn="1" w:lastColumn="0" w:noHBand="0" w:noVBand="1"/>
      </w:tblPr>
      <w:tblGrid>
        <w:gridCol w:w="4322"/>
        <w:gridCol w:w="4322"/>
      </w:tblGrid>
      <w:tr w:rsidR="007F4674" w:rsidTr="00224FA0">
        <w:tc>
          <w:tcPr>
            <w:tcW w:w="4322" w:type="dxa"/>
          </w:tcPr>
          <w:p w:rsidR="007F4674" w:rsidRPr="00615B81" w:rsidRDefault="007F4674" w:rsidP="00224FA0">
            <w:pPr>
              <w:rPr>
                <w:b/>
                <w:color w:val="4F81BD" w:themeColor="accent1"/>
                <w:sz w:val="18"/>
                <w:szCs w:val="18"/>
              </w:rPr>
            </w:pPr>
            <w:r>
              <w:rPr>
                <w:b/>
                <w:color w:val="4F81BD" w:themeColor="accent1"/>
                <w:sz w:val="18"/>
                <w:szCs w:val="18"/>
              </w:rPr>
              <w:t>Responsável</w:t>
            </w:r>
          </w:p>
        </w:tc>
        <w:tc>
          <w:tcPr>
            <w:tcW w:w="4322" w:type="dxa"/>
          </w:tcPr>
          <w:p w:rsidR="007F4674" w:rsidRPr="00615B81" w:rsidRDefault="007F4674" w:rsidP="00224FA0">
            <w:pPr>
              <w:rPr>
                <w:b/>
                <w:color w:val="4F81BD" w:themeColor="accent1"/>
                <w:sz w:val="18"/>
                <w:szCs w:val="18"/>
              </w:rPr>
            </w:pPr>
            <w:r>
              <w:rPr>
                <w:b/>
                <w:color w:val="4F81BD" w:themeColor="accent1"/>
                <w:sz w:val="18"/>
                <w:szCs w:val="18"/>
              </w:rPr>
              <w:t>Integrantes</w:t>
            </w:r>
          </w:p>
        </w:tc>
      </w:tr>
      <w:tr w:rsidR="007F4674" w:rsidTr="00224FA0">
        <w:tc>
          <w:tcPr>
            <w:tcW w:w="4322" w:type="dxa"/>
          </w:tcPr>
          <w:p w:rsidR="007F4674" w:rsidRPr="00615B81" w:rsidRDefault="007F4674" w:rsidP="00224FA0">
            <w:pPr>
              <w:rPr>
                <w:sz w:val="18"/>
                <w:szCs w:val="18"/>
              </w:rPr>
            </w:pPr>
            <w:r w:rsidRPr="007F4674">
              <w:rPr>
                <w:sz w:val="18"/>
                <w:szCs w:val="18"/>
              </w:rPr>
              <w:t xml:space="preserve"> Rosana Curzel</w:t>
            </w:r>
          </w:p>
        </w:tc>
        <w:tc>
          <w:tcPr>
            <w:tcW w:w="4322" w:type="dxa"/>
          </w:tcPr>
          <w:p w:rsidR="007F4674" w:rsidRPr="00615B81" w:rsidRDefault="007F4674" w:rsidP="00224FA0">
            <w:pPr>
              <w:rPr>
                <w:sz w:val="18"/>
                <w:szCs w:val="18"/>
              </w:rPr>
            </w:pPr>
            <w:r w:rsidRPr="007F4674">
              <w:rPr>
                <w:sz w:val="18"/>
                <w:szCs w:val="18"/>
              </w:rPr>
              <w:t>Rosana Curzel </w:t>
            </w:r>
          </w:p>
        </w:tc>
      </w:tr>
      <w:tr w:rsidR="007F4674" w:rsidTr="00224FA0">
        <w:tc>
          <w:tcPr>
            <w:tcW w:w="4322" w:type="dxa"/>
          </w:tcPr>
          <w:p w:rsidR="007F4674" w:rsidRDefault="007F4674" w:rsidP="00224FA0">
            <w:pPr>
              <w:rPr>
                <w:b/>
                <w:sz w:val="18"/>
                <w:szCs w:val="18"/>
              </w:rPr>
            </w:pPr>
          </w:p>
        </w:tc>
        <w:tc>
          <w:tcPr>
            <w:tcW w:w="4322" w:type="dxa"/>
          </w:tcPr>
          <w:p w:rsidR="007F4674" w:rsidRPr="00615B81" w:rsidRDefault="007F4674" w:rsidP="00224FA0">
            <w:pPr>
              <w:rPr>
                <w:sz w:val="18"/>
                <w:szCs w:val="18"/>
              </w:rPr>
            </w:pPr>
            <w:r w:rsidRPr="007F4674">
              <w:rPr>
                <w:sz w:val="18"/>
                <w:szCs w:val="18"/>
              </w:rPr>
              <w:t>João Reis Nunes</w:t>
            </w:r>
          </w:p>
        </w:tc>
      </w:tr>
    </w:tbl>
    <w:p w:rsidR="007F4674" w:rsidRDefault="007F4674" w:rsidP="007F4674"/>
    <w:tbl>
      <w:tblPr>
        <w:tblStyle w:val="Tabelacomgrade"/>
        <w:tblW w:w="0" w:type="auto"/>
        <w:tblLook w:val="04A0" w:firstRow="1" w:lastRow="0" w:firstColumn="1" w:lastColumn="0" w:noHBand="0" w:noVBand="1"/>
      </w:tblPr>
      <w:tblGrid>
        <w:gridCol w:w="4361"/>
        <w:gridCol w:w="4283"/>
      </w:tblGrid>
      <w:tr w:rsidR="007F4674" w:rsidRPr="00155AE6" w:rsidTr="00224FA0">
        <w:tc>
          <w:tcPr>
            <w:tcW w:w="4361" w:type="dxa"/>
          </w:tcPr>
          <w:p w:rsidR="007F4674" w:rsidRPr="00155AE6" w:rsidRDefault="007F4674" w:rsidP="00224FA0">
            <w:pPr>
              <w:jc w:val="both"/>
              <w:rPr>
                <w:b/>
                <w:sz w:val="18"/>
                <w:szCs w:val="18"/>
              </w:rPr>
            </w:pPr>
            <w:r w:rsidRPr="00155AE6">
              <w:rPr>
                <w:b/>
                <w:sz w:val="18"/>
                <w:szCs w:val="18"/>
              </w:rPr>
              <w:t>Financiador</w:t>
            </w:r>
          </w:p>
        </w:tc>
        <w:tc>
          <w:tcPr>
            <w:tcW w:w="4283" w:type="dxa"/>
          </w:tcPr>
          <w:p w:rsidR="007F4674" w:rsidRPr="00155AE6" w:rsidRDefault="007F4674" w:rsidP="00224FA0">
            <w:pPr>
              <w:jc w:val="both"/>
              <w:rPr>
                <w:b/>
                <w:sz w:val="18"/>
                <w:szCs w:val="18"/>
              </w:rPr>
            </w:pPr>
            <w:r>
              <w:rPr>
                <w:b/>
                <w:sz w:val="18"/>
                <w:szCs w:val="18"/>
              </w:rPr>
              <w:t>Natureza</w:t>
            </w:r>
          </w:p>
        </w:tc>
      </w:tr>
      <w:tr w:rsidR="007F4674" w:rsidTr="00224FA0">
        <w:tc>
          <w:tcPr>
            <w:tcW w:w="4361" w:type="dxa"/>
          </w:tcPr>
          <w:p w:rsidR="007F4674" w:rsidRPr="007F4674" w:rsidRDefault="007F4674" w:rsidP="00224FA0">
            <w:pPr>
              <w:jc w:val="both"/>
              <w:rPr>
                <w:sz w:val="18"/>
                <w:szCs w:val="18"/>
                <w:lang w:val="en-US"/>
              </w:rPr>
            </w:pPr>
            <w:r w:rsidRPr="007F4674">
              <w:rPr>
                <w:sz w:val="18"/>
                <w:szCs w:val="18"/>
                <w:lang w:val="en-US"/>
              </w:rPr>
              <w:t>British Academy-The UK's National Academy for the Humanities and Social Sci</w:t>
            </w:r>
          </w:p>
        </w:tc>
        <w:tc>
          <w:tcPr>
            <w:tcW w:w="4283" w:type="dxa"/>
          </w:tcPr>
          <w:p w:rsidR="007F4674" w:rsidRDefault="007F4674" w:rsidP="00224FA0">
            <w:pPr>
              <w:jc w:val="both"/>
              <w:rPr>
                <w:sz w:val="18"/>
                <w:szCs w:val="18"/>
              </w:rPr>
            </w:pPr>
            <w:r>
              <w:rPr>
                <w:sz w:val="18"/>
                <w:szCs w:val="18"/>
              </w:rPr>
              <w:t>Auxílio financeiro</w:t>
            </w:r>
          </w:p>
        </w:tc>
      </w:tr>
    </w:tbl>
    <w:p w:rsidR="008E7008" w:rsidRDefault="008E7008"/>
    <w:sectPr w:rsidR="008E70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74"/>
    <w:rsid w:val="0060368F"/>
    <w:rsid w:val="006D2CB3"/>
    <w:rsid w:val="007F4674"/>
    <w:rsid w:val="008E7008"/>
    <w:rsid w:val="00B41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4"/>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4"/>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F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Gracinda</dc:creator>
  <cp:lastModifiedBy>Maria Gracinda</cp:lastModifiedBy>
  <cp:revision>2</cp:revision>
  <dcterms:created xsi:type="dcterms:W3CDTF">2017-10-26T23:51:00Z</dcterms:created>
  <dcterms:modified xsi:type="dcterms:W3CDTF">2017-10-26T23:51:00Z</dcterms:modified>
</cp:coreProperties>
</file>