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C" w:rsidRPr="00BA692C" w:rsidRDefault="00BA692C" w:rsidP="00BA692C">
      <w:pPr>
        <w:rPr>
          <w:b/>
          <w:color w:val="4F81BD" w:themeColor="accent1"/>
          <w:sz w:val="18"/>
          <w:szCs w:val="18"/>
        </w:rPr>
      </w:pPr>
      <w:bookmarkStart w:id="0" w:name="_GoBack"/>
      <w:bookmarkEnd w:id="0"/>
    </w:p>
    <w:p w:rsidR="00BA692C" w:rsidRPr="00BA692C" w:rsidRDefault="00BA692C" w:rsidP="00BA692C">
      <w:pPr>
        <w:rPr>
          <w:b/>
          <w:color w:val="4F81BD" w:themeColor="accent1"/>
          <w:sz w:val="18"/>
          <w:szCs w:val="18"/>
        </w:rPr>
      </w:pPr>
      <w:r w:rsidRPr="00BA692C">
        <w:rPr>
          <w:b/>
          <w:color w:val="4F81BD" w:themeColor="accent1"/>
          <w:sz w:val="18"/>
          <w:szCs w:val="18"/>
        </w:rPr>
        <w:t>A cultura como um ativo econômico no planejamento e gestão estratégica da cidade contemporânea.</w:t>
      </w:r>
    </w:p>
    <w:p w:rsidR="00BA692C" w:rsidRPr="00F44415" w:rsidRDefault="00BA692C" w:rsidP="00BA692C">
      <w:pPr>
        <w:rPr>
          <w:sz w:val="18"/>
          <w:szCs w:val="18"/>
        </w:rPr>
      </w:pPr>
      <w:r w:rsidRPr="00F44415">
        <w:rPr>
          <w:b/>
          <w:sz w:val="18"/>
          <w:szCs w:val="18"/>
        </w:rPr>
        <w:t>Natureza:</w:t>
      </w:r>
      <w:r>
        <w:rPr>
          <w:sz w:val="18"/>
          <w:szCs w:val="18"/>
        </w:rPr>
        <w:t xml:space="preserve"> Pesquisa</w:t>
      </w:r>
    </w:p>
    <w:p w:rsidR="00BA692C" w:rsidRPr="00F44415" w:rsidRDefault="00BA692C" w:rsidP="00BA692C">
      <w:pPr>
        <w:rPr>
          <w:sz w:val="18"/>
          <w:szCs w:val="18"/>
        </w:rPr>
      </w:pPr>
      <w:r w:rsidRPr="00F44415">
        <w:rPr>
          <w:b/>
          <w:sz w:val="18"/>
          <w:szCs w:val="18"/>
        </w:rPr>
        <w:t>Início</w:t>
      </w:r>
      <w:r>
        <w:rPr>
          <w:sz w:val="18"/>
          <w:szCs w:val="18"/>
        </w:rPr>
        <w:t>: 2012</w:t>
      </w:r>
    </w:p>
    <w:p w:rsidR="00BA692C" w:rsidRPr="00F44415" w:rsidRDefault="00BA692C" w:rsidP="00BA692C">
      <w:pPr>
        <w:rPr>
          <w:sz w:val="18"/>
          <w:szCs w:val="18"/>
        </w:rPr>
      </w:pPr>
      <w:r w:rsidRPr="00F44415">
        <w:rPr>
          <w:b/>
          <w:sz w:val="18"/>
          <w:szCs w:val="18"/>
        </w:rPr>
        <w:t>Responsável:</w:t>
      </w:r>
      <w:r w:rsidRPr="00F44415">
        <w:rPr>
          <w:sz w:val="18"/>
          <w:szCs w:val="18"/>
        </w:rPr>
        <w:t xml:space="preserve"> D</w:t>
      </w:r>
      <w:r>
        <w:rPr>
          <w:sz w:val="18"/>
          <w:szCs w:val="18"/>
        </w:rPr>
        <w:t>rª.</w:t>
      </w:r>
      <w:r w:rsidRPr="00BA692C">
        <w:t xml:space="preserve"> </w:t>
      </w:r>
      <w:r w:rsidRPr="00BA692C">
        <w:rPr>
          <w:sz w:val="18"/>
          <w:szCs w:val="18"/>
        </w:rPr>
        <w:t>Isabela de Fátima Fogaça</w:t>
      </w:r>
    </w:p>
    <w:p w:rsidR="00BA692C" w:rsidRPr="00F44415" w:rsidRDefault="00BA692C" w:rsidP="00BA692C">
      <w:pPr>
        <w:rPr>
          <w:sz w:val="18"/>
          <w:szCs w:val="18"/>
        </w:rPr>
      </w:pPr>
      <w:r w:rsidRPr="00F44415">
        <w:rPr>
          <w:b/>
          <w:sz w:val="18"/>
          <w:szCs w:val="18"/>
        </w:rPr>
        <w:t>Linha de Pesquisa</w:t>
      </w:r>
      <w:r w:rsidRPr="00F44415">
        <w:rPr>
          <w:sz w:val="18"/>
          <w:szCs w:val="18"/>
        </w:rPr>
        <w:t>: Organizações, Estado e Sociedade.</w:t>
      </w:r>
    </w:p>
    <w:p w:rsidR="00BA692C" w:rsidRPr="00156FF5" w:rsidRDefault="00BA692C" w:rsidP="00BA692C">
      <w:pPr>
        <w:spacing w:after="0" w:line="240" w:lineRule="auto"/>
        <w:jc w:val="both"/>
        <w:rPr>
          <w:sz w:val="18"/>
          <w:szCs w:val="18"/>
        </w:rPr>
      </w:pPr>
      <w:r w:rsidRPr="00F44415">
        <w:rPr>
          <w:b/>
          <w:sz w:val="18"/>
          <w:szCs w:val="18"/>
        </w:rPr>
        <w:t>Descrição</w:t>
      </w:r>
      <w:r w:rsidRPr="00F44415">
        <w:rPr>
          <w:sz w:val="18"/>
          <w:szCs w:val="18"/>
        </w:rPr>
        <w:t>:</w:t>
      </w:r>
      <w:r w:rsidRPr="00E63E92">
        <w:rPr>
          <w:sz w:val="18"/>
          <w:szCs w:val="18"/>
        </w:rPr>
        <w:t xml:space="preserve"> </w:t>
      </w:r>
      <w:r w:rsidRPr="00BA692C">
        <w:rPr>
          <w:sz w:val="18"/>
          <w:szCs w:val="18"/>
        </w:rPr>
        <w:t>No mundo todo, o encontro entre a cultura e a economia tem sido uma das bases para a reconversão das políticas urbanas contemporâneas. Os eventos culturais, as artes, os festivais e a animação dos espaços são indicados como elementos de rompimento com a estagnação econômica e física dos lugares. Assim, a cultura, e o que alguns autores denominam de economia criativa, tem sido um dos grandes ativos na administração pública para os processos mais abrangentes de reestruturação econômica e espacial das cidades, tendo como referencia modelos europeus como Barcelona, que se expandiram para a América Latina, como no caso do Rio de Janeiro e de Curitiba que já ganham destaque nacional e internacional. Nesse sentido, esse projeto, iniciado em 2012, é a continuidade da pesquisa que realizamos para o doutoramento, entre 2006 e 2011, cujo objetivo foi compreender como o turismo se desenvolveu e se integrou à ótica do planejamento e gestão estratégica em Curitiba/PR. Desta vez, nosso objetivo é compreender como vem se dando o processo de transformação da cultura em um insumo econômico para reconversão das políticas urbanas em municípios do estado do Rio de Janeiro. Em 2012 iniciamos pelo município de Nova Iguaçu, visto que percebemos que nos últimos anos vem se instalando no município equipamentos culturais e de entretenimento como restaurantes que contam com áreas de espetáculos, além de meios de hospedagens de alto padrão, como um exemplar da rede francesa Accor de hotéis que atua no município desde 2011. Junto a estes equipamentos percebeu-se o início da reconversão de áreas urbanas degradadas e uma visibilidade do município no contexto político da região metropolitana do Rio de Janeiro. A pesquisa sobre Nova Iguaçu foi encerrada em 2014 e nesse mesmo ano iniciamos pesquisas sobre o município de Petrópolis tendo como foco a apropriação do Patrimônio Cultural pelo Turismo e a discussão dialética entre a preservação e a massificação. Além da pesquisa sobre Petrópolis aprofundamos nossas discussões teóricas sobre a cultura, a educação patrim</w:t>
      </w:r>
      <w:r>
        <w:rPr>
          <w:sz w:val="18"/>
          <w:szCs w:val="18"/>
        </w:rPr>
        <w:t>onial e a relação com a cidade.</w:t>
      </w:r>
    </w:p>
    <w:p w:rsidR="00BA692C" w:rsidRDefault="00BA692C" w:rsidP="00BA692C">
      <w:pPr>
        <w:rPr>
          <w:b/>
          <w:sz w:val="18"/>
          <w:szCs w:val="18"/>
        </w:rPr>
      </w:pPr>
    </w:p>
    <w:p w:rsidR="00BA692C" w:rsidRDefault="00BA692C" w:rsidP="00BA692C">
      <w:pPr>
        <w:rPr>
          <w:b/>
          <w:sz w:val="18"/>
          <w:szCs w:val="18"/>
        </w:rPr>
      </w:pPr>
      <w:r w:rsidRPr="00F44415">
        <w:rPr>
          <w:b/>
          <w:sz w:val="18"/>
          <w:szCs w:val="18"/>
        </w:rPr>
        <w:t>E</w:t>
      </w:r>
      <w:r>
        <w:rPr>
          <w:b/>
          <w:sz w:val="18"/>
          <w:szCs w:val="18"/>
        </w:rPr>
        <w:t>quipe</w:t>
      </w:r>
    </w:p>
    <w:tbl>
      <w:tblPr>
        <w:tblStyle w:val="Tabelacomgrade"/>
        <w:tblW w:w="0" w:type="auto"/>
        <w:tblLook w:val="04A0" w:firstRow="1" w:lastRow="0" w:firstColumn="1" w:lastColumn="0" w:noHBand="0" w:noVBand="1"/>
      </w:tblPr>
      <w:tblGrid>
        <w:gridCol w:w="4322"/>
        <w:gridCol w:w="4322"/>
      </w:tblGrid>
      <w:tr w:rsidR="00BA692C" w:rsidTr="0079080F">
        <w:tc>
          <w:tcPr>
            <w:tcW w:w="4322" w:type="dxa"/>
          </w:tcPr>
          <w:p w:rsidR="00BA692C" w:rsidRPr="00615B81" w:rsidRDefault="00BA692C" w:rsidP="0079080F">
            <w:pPr>
              <w:rPr>
                <w:b/>
                <w:color w:val="4F81BD" w:themeColor="accent1"/>
                <w:sz w:val="18"/>
                <w:szCs w:val="18"/>
              </w:rPr>
            </w:pPr>
            <w:r>
              <w:rPr>
                <w:b/>
                <w:color w:val="4F81BD" w:themeColor="accent1"/>
                <w:sz w:val="18"/>
                <w:szCs w:val="18"/>
              </w:rPr>
              <w:t>Responsável</w:t>
            </w:r>
          </w:p>
        </w:tc>
        <w:tc>
          <w:tcPr>
            <w:tcW w:w="4322" w:type="dxa"/>
          </w:tcPr>
          <w:p w:rsidR="00BA692C" w:rsidRPr="00615B81" w:rsidRDefault="00BA692C" w:rsidP="0079080F">
            <w:pPr>
              <w:rPr>
                <w:b/>
                <w:color w:val="4F81BD" w:themeColor="accent1"/>
                <w:sz w:val="18"/>
                <w:szCs w:val="18"/>
              </w:rPr>
            </w:pPr>
            <w:r>
              <w:rPr>
                <w:b/>
                <w:color w:val="4F81BD" w:themeColor="accent1"/>
                <w:sz w:val="18"/>
                <w:szCs w:val="18"/>
              </w:rPr>
              <w:t>Integrantes</w:t>
            </w:r>
          </w:p>
        </w:tc>
      </w:tr>
      <w:tr w:rsidR="00BA692C" w:rsidTr="0079080F">
        <w:tc>
          <w:tcPr>
            <w:tcW w:w="4322" w:type="dxa"/>
          </w:tcPr>
          <w:p w:rsidR="00BA692C" w:rsidRPr="00615B81" w:rsidRDefault="00BA692C" w:rsidP="0079080F">
            <w:pPr>
              <w:rPr>
                <w:sz w:val="18"/>
                <w:szCs w:val="18"/>
              </w:rPr>
            </w:pPr>
            <w:r w:rsidRPr="00BA692C">
              <w:rPr>
                <w:sz w:val="18"/>
                <w:szCs w:val="18"/>
              </w:rPr>
              <w:t>Isabela de Fátima Fogaça</w:t>
            </w:r>
          </w:p>
        </w:tc>
        <w:tc>
          <w:tcPr>
            <w:tcW w:w="4322" w:type="dxa"/>
          </w:tcPr>
          <w:p w:rsidR="00BA692C" w:rsidRPr="00615B81" w:rsidRDefault="00BA692C" w:rsidP="0079080F">
            <w:pPr>
              <w:rPr>
                <w:sz w:val="18"/>
                <w:szCs w:val="18"/>
              </w:rPr>
            </w:pPr>
            <w:r w:rsidRPr="00BA692C">
              <w:rPr>
                <w:sz w:val="18"/>
                <w:szCs w:val="18"/>
              </w:rPr>
              <w:t>Isabela de Fátima Fogaça</w:t>
            </w:r>
          </w:p>
        </w:tc>
      </w:tr>
      <w:tr w:rsidR="00BA692C" w:rsidTr="0079080F">
        <w:tc>
          <w:tcPr>
            <w:tcW w:w="4322" w:type="dxa"/>
          </w:tcPr>
          <w:p w:rsidR="00BA692C" w:rsidRDefault="00BA692C" w:rsidP="0079080F">
            <w:pPr>
              <w:rPr>
                <w:b/>
                <w:sz w:val="18"/>
                <w:szCs w:val="18"/>
              </w:rPr>
            </w:pPr>
          </w:p>
        </w:tc>
        <w:tc>
          <w:tcPr>
            <w:tcW w:w="4322" w:type="dxa"/>
          </w:tcPr>
          <w:p w:rsidR="00BA692C" w:rsidRPr="00615B81" w:rsidRDefault="00BA692C" w:rsidP="0079080F">
            <w:pPr>
              <w:rPr>
                <w:sz w:val="18"/>
                <w:szCs w:val="18"/>
              </w:rPr>
            </w:pPr>
            <w:r w:rsidRPr="00BA692C">
              <w:rPr>
                <w:sz w:val="18"/>
                <w:szCs w:val="18"/>
              </w:rPr>
              <w:t>Marina Lima dos Santos</w:t>
            </w:r>
          </w:p>
        </w:tc>
      </w:tr>
      <w:tr w:rsidR="00BA692C" w:rsidTr="0079080F">
        <w:tc>
          <w:tcPr>
            <w:tcW w:w="4322" w:type="dxa"/>
          </w:tcPr>
          <w:p w:rsidR="00BA692C" w:rsidRDefault="00BA692C" w:rsidP="0079080F">
            <w:pPr>
              <w:rPr>
                <w:b/>
                <w:sz w:val="18"/>
                <w:szCs w:val="18"/>
              </w:rPr>
            </w:pPr>
          </w:p>
        </w:tc>
        <w:tc>
          <w:tcPr>
            <w:tcW w:w="4322" w:type="dxa"/>
          </w:tcPr>
          <w:p w:rsidR="00BA692C" w:rsidRPr="0021395E" w:rsidRDefault="00BA692C" w:rsidP="0079080F">
            <w:pPr>
              <w:rPr>
                <w:sz w:val="18"/>
                <w:szCs w:val="18"/>
              </w:rPr>
            </w:pPr>
            <w:r w:rsidRPr="00BA692C">
              <w:rPr>
                <w:sz w:val="18"/>
                <w:szCs w:val="18"/>
              </w:rPr>
              <w:t>Matheus de Castro Pereira Souza</w:t>
            </w:r>
          </w:p>
        </w:tc>
      </w:tr>
    </w:tbl>
    <w:p w:rsidR="008E7008" w:rsidRDefault="008E7008"/>
    <w:tbl>
      <w:tblPr>
        <w:tblStyle w:val="Tabelacomgrade"/>
        <w:tblW w:w="0" w:type="auto"/>
        <w:tblLook w:val="04A0" w:firstRow="1" w:lastRow="0" w:firstColumn="1" w:lastColumn="0" w:noHBand="0" w:noVBand="1"/>
      </w:tblPr>
      <w:tblGrid>
        <w:gridCol w:w="4361"/>
        <w:gridCol w:w="4283"/>
      </w:tblGrid>
      <w:tr w:rsidR="00122DA5" w:rsidRPr="00155AE6" w:rsidTr="00A90DFE">
        <w:tc>
          <w:tcPr>
            <w:tcW w:w="4361" w:type="dxa"/>
          </w:tcPr>
          <w:p w:rsidR="00122DA5" w:rsidRPr="00155AE6" w:rsidRDefault="00122DA5" w:rsidP="0079080F">
            <w:pPr>
              <w:jc w:val="both"/>
              <w:rPr>
                <w:b/>
                <w:sz w:val="18"/>
                <w:szCs w:val="18"/>
              </w:rPr>
            </w:pPr>
            <w:r w:rsidRPr="00155AE6">
              <w:rPr>
                <w:b/>
                <w:sz w:val="18"/>
                <w:szCs w:val="18"/>
              </w:rPr>
              <w:t>Financiador</w:t>
            </w:r>
          </w:p>
        </w:tc>
        <w:tc>
          <w:tcPr>
            <w:tcW w:w="4283" w:type="dxa"/>
          </w:tcPr>
          <w:p w:rsidR="00122DA5" w:rsidRPr="00155AE6" w:rsidRDefault="00122DA5" w:rsidP="0079080F">
            <w:pPr>
              <w:jc w:val="both"/>
              <w:rPr>
                <w:b/>
                <w:sz w:val="18"/>
                <w:szCs w:val="18"/>
              </w:rPr>
            </w:pPr>
            <w:r>
              <w:rPr>
                <w:b/>
                <w:sz w:val="18"/>
                <w:szCs w:val="18"/>
              </w:rPr>
              <w:t>Natureza</w:t>
            </w:r>
          </w:p>
        </w:tc>
      </w:tr>
      <w:tr w:rsidR="00122DA5" w:rsidTr="00A90DFE">
        <w:tc>
          <w:tcPr>
            <w:tcW w:w="4361" w:type="dxa"/>
          </w:tcPr>
          <w:p w:rsidR="00122DA5" w:rsidRDefault="00122DA5" w:rsidP="0079080F">
            <w:pPr>
              <w:jc w:val="both"/>
              <w:rPr>
                <w:sz w:val="18"/>
                <w:szCs w:val="18"/>
              </w:rPr>
            </w:pPr>
            <w:r>
              <w:rPr>
                <w:sz w:val="18"/>
                <w:szCs w:val="18"/>
              </w:rPr>
              <w:t>FAPERJ</w:t>
            </w:r>
          </w:p>
        </w:tc>
        <w:tc>
          <w:tcPr>
            <w:tcW w:w="4283" w:type="dxa"/>
          </w:tcPr>
          <w:p w:rsidR="00122DA5" w:rsidRDefault="00122DA5" w:rsidP="0079080F">
            <w:pPr>
              <w:jc w:val="both"/>
              <w:rPr>
                <w:sz w:val="18"/>
                <w:szCs w:val="18"/>
              </w:rPr>
            </w:pPr>
            <w:r>
              <w:rPr>
                <w:sz w:val="18"/>
                <w:szCs w:val="18"/>
              </w:rPr>
              <w:t>Auxílio financeiro</w:t>
            </w:r>
          </w:p>
        </w:tc>
      </w:tr>
    </w:tbl>
    <w:p w:rsidR="00122DA5" w:rsidRDefault="00122DA5"/>
    <w:sectPr w:rsidR="00122D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2C"/>
    <w:rsid w:val="00122DA5"/>
    <w:rsid w:val="001234AC"/>
    <w:rsid w:val="003113C4"/>
    <w:rsid w:val="005806EE"/>
    <w:rsid w:val="0060368F"/>
    <w:rsid w:val="008E7008"/>
    <w:rsid w:val="00A90DFE"/>
    <w:rsid w:val="00BA6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2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A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2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A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Gracinda</dc:creator>
  <cp:lastModifiedBy>Maria Gracinda</cp:lastModifiedBy>
  <cp:revision>8</cp:revision>
  <dcterms:created xsi:type="dcterms:W3CDTF">2017-10-26T20:12:00Z</dcterms:created>
  <dcterms:modified xsi:type="dcterms:W3CDTF">2017-10-26T20:25:00Z</dcterms:modified>
</cp:coreProperties>
</file>